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13"/>
        <w:gridCol w:w="4513"/>
      </w:tblGrid>
      <w:tr w:rsidR="00D56E35" w:rsidRPr="00D56E35" w:rsidTr="00D56E35">
        <w:trPr>
          <w:tblCellSpacing w:w="0" w:type="dxa"/>
        </w:trPr>
        <w:tc>
          <w:tcPr>
            <w:tcW w:w="0" w:type="auto"/>
            <w:vAlign w:val="center"/>
            <w:hideMark/>
          </w:tcPr>
          <w:p w:rsidR="00D56E35" w:rsidRPr="00D56E35" w:rsidRDefault="00D56E35">
            <w:pPr>
              <w:rPr>
                <w:rFonts w:ascii="Verdana" w:eastAsia="Times New Roman" w:hAnsi="Verdana"/>
                <w:color w:val="4F81BD"/>
                <w:sz w:val="19"/>
                <w:szCs w:val="19"/>
              </w:rPr>
            </w:pPr>
          </w:p>
        </w:tc>
        <w:tc>
          <w:tcPr>
            <w:tcW w:w="0" w:type="auto"/>
            <w:vAlign w:val="center"/>
            <w:hideMark/>
          </w:tcPr>
          <w:p w:rsidR="00D56E35" w:rsidRPr="00D56E35" w:rsidRDefault="00D56E35">
            <w:pPr>
              <w:jc w:val="right"/>
              <w:rPr>
                <w:rFonts w:ascii="Verdana" w:eastAsia="Times New Roman" w:hAnsi="Verdana"/>
                <w:color w:val="4F81BD"/>
                <w:sz w:val="19"/>
                <w:szCs w:val="19"/>
              </w:rPr>
            </w:pPr>
          </w:p>
        </w:tc>
      </w:tr>
    </w:tbl>
    <w:p w:rsidR="00D56E35" w:rsidRDefault="00B177F4" w:rsidP="007C358E">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6.65pt;height:56.95pt">
            <v:imagedata r:id="rId7" o:title="D11 2281819  AER Logo Outlined type Large colour"/>
          </v:shape>
        </w:pict>
      </w:r>
    </w:p>
    <w:p w:rsidR="00833B95" w:rsidRPr="00833B95" w:rsidRDefault="00833B95" w:rsidP="00833B95">
      <w:pPr>
        <w:jc w:val="center"/>
        <w:rPr>
          <w:b/>
          <w:sz w:val="36"/>
          <w:szCs w:val="36"/>
        </w:rPr>
      </w:pPr>
      <w:r w:rsidRPr="00833B95">
        <w:rPr>
          <w:b/>
          <w:sz w:val="36"/>
          <w:szCs w:val="36"/>
        </w:rPr>
        <w:t>Summary of meeting</w:t>
      </w:r>
    </w:p>
    <w:p w:rsidR="00833B95" w:rsidRDefault="00465380" w:rsidP="00833B95">
      <w:pPr>
        <w:jc w:val="center"/>
        <w:rPr>
          <w:b/>
          <w:sz w:val="32"/>
          <w:szCs w:val="32"/>
        </w:rPr>
      </w:pPr>
      <w:r>
        <w:rPr>
          <w:b/>
          <w:sz w:val="32"/>
          <w:szCs w:val="32"/>
        </w:rPr>
        <w:t>Expenditure Forecast Assessment Guidelines</w:t>
      </w:r>
      <w:r w:rsidR="008F1687">
        <w:rPr>
          <w:b/>
          <w:sz w:val="32"/>
          <w:szCs w:val="32"/>
        </w:rPr>
        <w:t xml:space="preserve"> </w:t>
      </w:r>
      <w:r w:rsidR="00B74C35">
        <w:rPr>
          <w:b/>
          <w:sz w:val="32"/>
          <w:szCs w:val="32"/>
        </w:rPr>
        <w:t xml:space="preserve">Working Group meeting </w:t>
      </w:r>
      <w:r w:rsidR="008F1687">
        <w:rPr>
          <w:b/>
          <w:sz w:val="32"/>
          <w:szCs w:val="32"/>
        </w:rPr>
        <w:t>No. 3</w:t>
      </w:r>
    </w:p>
    <w:p w:rsidR="00B74C35" w:rsidRDefault="00B74C35" w:rsidP="00833B95">
      <w:pPr>
        <w:jc w:val="center"/>
        <w:rPr>
          <w:b/>
          <w:sz w:val="32"/>
          <w:szCs w:val="32"/>
        </w:rPr>
      </w:pPr>
      <w:r>
        <w:rPr>
          <w:b/>
          <w:sz w:val="32"/>
          <w:szCs w:val="32"/>
        </w:rPr>
        <w:t>Category assessment – replacement and augmentation capex for transmission businesses</w:t>
      </w:r>
    </w:p>
    <w:p w:rsidR="00833B95" w:rsidRDefault="008F1687" w:rsidP="00833B95">
      <w:pPr>
        <w:jc w:val="center"/>
        <w:rPr>
          <w:b/>
          <w:sz w:val="32"/>
          <w:szCs w:val="32"/>
        </w:rPr>
      </w:pPr>
      <w:r>
        <w:rPr>
          <w:b/>
          <w:sz w:val="32"/>
          <w:szCs w:val="32"/>
        </w:rPr>
        <w:t xml:space="preserve">7 March </w:t>
      </w:r>
      <w:r w:rsidR="00833B95">
        <w:rPr>
          <w:b/>
          <w:sz w:val="32"/>
          <w:szCs w:val="32"/>
        </w:rPr>
        <w:t>2013</w:t>
      </w:r>
    </w:p>
    <w:p w:rsidR="006E0B37" w:rsidRPr="007C358E" w:rsidRDefault="006E0B37" w:rsidP="007C358E">
      <w:pPr>
        <w:jc w:val="center"/>
        <w:rPr>
          <w:b/>
          <w:sz w:val="32"/>
          <w:szCs w:val="32"/>
        </w:rPr>
      </w:pPr>
      <w:r>
        <w:rPr>
          <w:b/>
          <w:sz w:val="32"/>
          <w:szCs w:val="32"/>
        </w:rPr>
        <w:t>Held via vid</w:t>
      </w:r>
      <w:r w:rsidR="008F1687">
        <w:rPr>
          <w:b/>
          <w:sz w:val="32"/>
          <w:szCs w:val="32"/>
        </w:rPr>
        <w:t>eo link between AER’s Melbourne and</w:t>
      </w:r>
      <w:r w:rsidR="006B4BB9">
        <w:rPr>
          <w:b/>
          <w:sz w:val="32"/>
          <w:szCs w:val="32"/>
        </w:rPr>
        <w:t xml:space="preserve"> </w:t>
      </w:r>
      <w:r>
        <w:rPr>
          <w:b/>
          <w:sz w:val="32"/>
          <w:szCs w:val="32"/>
        </w:rPr>
        <w:t>Sydney offices</w:t>
      </w:r>
    </w:p>
    <w:p w:rsidR="001934EC" w:rsidRDefault="0079222A" w:rsidP="001934EC">
      <w:r>
        <w:t xml:space="preserve">On </w:t>
      </w:r>
      <w:r w:rsidR="008F1687">
        <w:t>7 March</w:t>
      </w:r>
      <w:r>
        <w:t xml:space="preserve"> 2013</w:t>
      </w:r>
      <w:r w:rsidR="003559A5">
        <w:t>, the AER,</w:t>
      </w:r>
      <w:r>
        <w:t xml:space="preserve"> </w:t>
      </w:r>
      <w:r w:rsidR="00A30034">
        <w:t>as</w:t>
      </w:r>
      <w:r w:rsidR="003559A5">
        <w:t xml:space="preserve"> </w:t>
      </w:r>
      <w:r w:rsidR="00A30034">
        <w:t xml:space="preserve">part of </w:t>
      </w:r>
      <w:r w:rsidR="003559A5">
        <w:t>its</w:t>
      </w:r>
      <w:r w:rsidR="00A30034">
        <w:t xml:space="preserve"> </w:t>
      </w:r>
      <w:r w:rsidR="00A30034" w:rsidRPr="00A30034">
        <w:rPr>
          <w:i/>
        </w:rPr>
        <w:t>Better Regulation</w:t>
      </w:r>
      <w:r w:rsidR="00A30034">
        <w:t xml:space="preserve"> package</w:t>
      </w:r>
      <w:r w:rsidR="003559A5">
        <w:t xml:space="preserve">, </w:t>
      </w:r>
      <w:r>
        <w:t xml:space="preserve">hosted a </w:t>
      </w:r>
      <w:r w:rsidR="00B74C35">
        <w:t xml:space="preserve">working group meeting </w:t>
      </w:r>
      <w:r>
        <w:t xml:space="preserve">on the development of the </w:t>
      </w:r>
      <w:r w:rsidR="006B4BB9">
        <w:t>Expenditure</w:t>
      </w:r>
      <w:r>
        <w:t xml:space="preserve"> </w:t>
      </w:r>
      <w:r w:rsidR="00156BC5">
        <w:t>forecast assessment g</w:t>
      </w:r>
      <w:r>
        <w:t>uidelines</w:t>
      </w:r>
      <w:r w:rsidR="00855FB1">
        <w:t xml:space="preserve"> (the Guidelines)</w:t>
      </w:r>
      <w:r>
        <w:t xml:space="preserve">. </w:t>
      </w:r>
      <w:r w:rsidR="0086601F">
        <w:t xml:space="preserve">The </w:t>
      </w:r>
      <w:r w:rsidR="00B74C35">
        <w:t xml:space="preserve">meeting </w:t>
      </w:r>
      <w:r w:rsidR="0086601F">
        <w:t xml:space="preserve">was chaired by AER </w:t>
      </w:r>
      <w:r w:rsidR="008F1687">
        <w:t>Director</w:t>
      </w:r>
      <w:r w:rsidR="003033BA">
        <w:t>,</w:t>
      </w:r>
      <w:r w:rsidR="008F1687">
        <w:t xml:space="preserve"> Paul Dunn</w:t>
      </w:r>
      <w:r w:rsidR="0086601F">
        <w:t xml:space="preserve">. </w:t>
      </w:r>
      <w:r w:rsidR="001934EC">
        <w:t>A full attendee list can be found in Attachment A.</w:t>
      </w:r>
    </w:p>
    <w:p w:rsidR="006E0B37" w:rsidRDefault="006E0B37" w:rsidP="00D93A70">
      <w:r>
        <w:t xml:space="preserve">This </w:t>
      </w:r>
      <w:r w:rsidR="0086601F">
        <w:t>summary</w:t>
      </w:r>
      <w:r>
        <w:t xml:space="preserve"> outlines the </w:t>
      </w:r>
      <w:r w:rsidR="0086601F">
        <w:t>key topics and themes</w:t>
      </w:r>
      <w:r>
        <w:t xml:space="preserve"> of the meeting, including views expressed </w:t>
      </w:r>
      <w:r w:rsidR="003559A5">
        <w:t xml:space="preserve">at the </w:t>
      </w:r>
      <w:r w:rsidR="00B74C35">
        <w:t>meeting</w:t>
      </w:r>
      <w:r>
        <w:t xml:space="preserve">, without </w:t>
      </w:r>
      <w:r w:rsidR="003559A5">
        <w:t>ascribing</w:t>
      </w:r>
      <w:r>
        <w:t xml:space="preserve"> particular comments to any one individual or organisation.</w:t>
      </w:r>
      <w:r w:rsidR="00C93043">
        <w:t xml:space="preserve"> The outline </w:t>
      </w:r>
      <w:r w:rsidR="003033BA">
        <w:t xml:space="preserve">broadly </w:t>
      </w:r>
      <w:r w:rsidR="00C93043">
        <w:t>follows that of the agenda.</w:t>
      </w:r>
    </w:p>
    <w:p w:rsidR="00E50CA5" w:rsidRPr="00E50CA5" w:rsidRDefault="00E50CA5" w:rsidP="00D93A70">
      <w:pPr>
        <w:rPr>
          <w:b/>
        </w:rPr>
      </w:pPr>
      <w:r w:rsidRPr="00E50CA5">
        <w:rPr>
          <w:b/>
        </w:rPr>
        <w:t>1</w:t>
      </w:r>
      <w:r w:rsidRPr="00E50CA5">
        <w:rPr>
          <w:b/>
        </w:rPr>
        <w:tab/>
        <w:t>Introductions</w:t>
      </w:r>
    </w:p>
    <w:p w:rsidR="00267C1F" w:rsidRDefault="00267C1F" w:rsidP="00D93A70">
      <w:r>
        <w:t xml:space="preserve">In this workshop, </w:t>
      </w:r>
      <w:r w:rsidR="00AD5592">
        <w:t xml:space="preserve">AER </w:t>
      </w:r>
      <w:r w:rsidR="00B74C35">
        <w:t xml:space="preserve">staff </w:t>
      </w:r>
      <w:r>
        <w:t xml:space="preserve">sought feedback from stakeholders on </w:t>
      </w:r>
      <w:r w:rsidR="00AD5592">
        <w:t xml:space="preserve">the information it would require to assess </w:t>
      </w:r>
      <w:r w:rsidR="00513E03">
        <w:t>replacement expenditure (</w:t>
      </w:r>
      <w:proofErr w:type="spellStart"/>
      <w:r w:rsidR="00513E03">
        <w:t>repex</w:t>
      </w:r>
      <w:proofErr w:type="spellEnd"/>
      <w:r w:rsidR="00513E03">
        <w:t>) and augmentation expenditure (</w:t>
      </w:r>
      <w:proofErr w:type="spellStart"/>
      <w:r w:rsidR="00513E03">
        <w:t>augex</w:t>
      </w:r>
      <w:proofErr w:type="spellEnd"/>
      <w:r w:rsidR="00513E03">
        <w:t>)</w:t>
      </w:r>
      <w:r w:rsidR="00AD5592">
        <w:t>.</w:t>
      </w:r>
      <w:r w:rsidR="00AD5592">
        <w:rPr>
          <w:rStyle w:val="FootnoteReference"/>
        </w:rPr>
        <w:footnoteReference w:id="1"/>
      </w:r>
      <w:r w:rsidR="003033BA">
        <w:t xml:space="preserve"> This workshop focused</w:t>
      </w:r>
      <w:r w:rsidR="00513E03">
        <w:t xml:space="preserve"> on the information requirements for transmission network service providers (TNSPs). </w:t>
      </w:r>
      <w:r w:rsidR="005D7573">
        <w:t xml:space="preserve">The AER signalled the potential use of the </w:t>
      </w:r>
      <w:proofErr w:type="spellStart"/>
      <w:r w:rsidR="005D7573">
        <w:t>repex</w:t>
      </w:r>
      <w:proofErr w:type="spellEnd"/>
      <w:r w:rsidR="005D7573">
        <w:t xml:space="preserve"> and </w:t>
      </w:r>
      <w:proofErr w:type="spellStart"/>
      <w:r w:rsidR="005D7573">
        <w:t>augex</w:t>
      </w:r>
      <w:proofErr w:type="spellEnd"/>
      <w:r w:rsidR="005D7573">
        <w:t xml:space="preserve"> models when assessing TNSPs’ capex forecasts.</w:t>
      </w:r>
    </w:p>
    <w:p w:rsidR="00180DBA" w:rsidRDefault="00180DBA" w:rsidP="00180DBA">
      <w:r>
        <w:t xml:space="preserve">AER </w:t>
      </w:r>
      <w:r w:rsidR="00B74C35">
        <w:t xml:space="preserve">staff </w:t>
      </w:r>
      <w:r>
        <w:t xml:space="preserve">highlighted these models are not the only tools it would use to assess </w:t>
      </w:r>
      <w:proofErr w:type="spellStart"/>
      <w:r>
        <w:t>repex</w:t>
      </w:r>
      <w:proofErr w:type="spellEnd"/>
      <w:r>
        <w:t xml:space="preserve"> and </w:t>
      </w:r>
      <w:proofErr w:type="spellStart"/>
      <w:r>
        <w:t>augex</w:t>
      </w:r>
      <w:proofErr w:type="spellEnd"/>
      <w:r w:rsidR="003033BA">
        <w:t xml:space="preserve"> forecasts</w:t>
      </w:r>
      <w:r>
        <w:t>, respectively</w:t>
      </w:r>
      <w:r w:rsidR="00B74C35">
        <w:t>, and would not be used deterministically to set allowances</w:t>
      </w:r>
      <w:r>
        <w:t xml:space="preserve">. Rather, they are screening tools that provide the AER an alternative view of </w:t>
      </w:r>
      <w:proofErr w:type="spellStart"/>
      <w:r w:rsidR="003033BA">
        <w:t>repex</w:t>
      </w:r>
      <w:proofErr w:type="spellEnd"/>
      <w:r w:rsidR="003033BA">
        <w:t xml:space="preserve"> and </w:t>
      </w:r>
      <w:proofErr w:type="spellStart"/>
      <w:r w:rsidR="003033BA">
        <w:t>augex</w:t>
      </w:r>
      <w:proofErr w:type="spellEnd"/>
      <w:r w:rsidR="003033BA">
        <w:t xml:space="preserve"> </w:t>
      </w:r>
      <w:r>
        <w:t>forecasts. Ideally, the models would assist the AER in identifying outliers in TNSPs’ capex forecasts.</w:t>
      </w:r>
    </w:p>
    <w:p w:rsidR="00267C1F" w:rsidRDefault="003033BA" w:rsidP="00D93A70">
      <w:r>
        <w:t xml:space="preserve">The AER’s consultant, </w:t>
      </w:r>
      <w:proofErr w:type="spellStart"/>
      <w:r w:rsidR="00267C1F">
        <w:t>Nuttall</w:t>
      </w:r>
      <w:proofErr w:type="spellEnd"/>
      <w:r w:rsidR="00267C1F">
        <w:t xml:space="preserve"> Consulting</w:t>
      </w:r>
      <w:r>
        <w:t>,</w:t>
      </w:r>
      <w:r w:rsidR="00267C1F">
        <w:t xml:space="preserve"> summarised the </w:t>
      </w:r>
      <w:r w:rsidR="00681F5F">
        <w:t xml:space="preserve">purpose of the </w:t>
      </w:r>
      <w:proofErr w:type="spellStart"/>
      <w:r w:rsidR="00267C1F">
        <w:t>repex</w:t>
      </w:r>
      <w:proofErr w:type="spellEnd"/>
      <w:r w:rsidR="00267C1F">
        <w:t xml:space="preserve"> model and</w:t>
      </w:r>
      <w:r>
        <w:t xml:space="preserve"> </w:t>
      </w:r>
      <w:proofErr w:type="spellStart"/>
      <w:r>
        <w:t>augex</w:t>
      </w:r>
      <w:proofErr w:type="spellEnd"/>
      <w:r>
        <w:t xml:space="preserve"> model,</w:t>
      </w:r>
      <w:r w:rsidR="00681F5F">
        <w:t xml:space="preserve"> emphasising they are regulatory tools, not planning or management tools.</w:t>
      </w:r>
      <w:r w:rsidR="00EB6BFA">
        <w:t xml:space="preserve"> </w:t>
      </w:r>
      <w:proofErr w:type="spellStart"/>
      <w:r w:rsidR="00EB6BFA">
        <w:t>Nuttall</w:t>
      </w:r>
      <w:proofErr w:type="spellEnd"/>
      <w:r w:rsidR="00EB6BFA">
        <w:t xml:space="preserve"> Consulting provided </w:t>
      </w:r>
      <w:r>
        <w:t>example templates in</w:t>
      </w:r>
      <w:r w:rsidR="00EB6BFA">
        <w:t xml:space="preserve"> the </w:t>
      </w:r>
      <w:proofErr w:type="spellStart"/>
      <w:r w:rsidR="00EB6BFA">
        <w:t>repex</w:t>
      </w:r>
      <w:proofErr w:type="spellEnd"/>
      <w:r w:rsidR="00EB6BFA">
        <w:t xml:space="preserve"> model to illustrate the model’s potential information </w:t>
      </w:r>
      <w:r w:rsidR="00EB6BFA">
        <w:lastRenderedPageBreak/>
        <w:t>requirements for TNSPs.</w:t>
      </w:r>
      <w:r w:rsidR="00681F5F">
        <w:t xml:space="preserve"> </w:t>
      </w:r>
      <w:proofErr w:type="spellStart"/>
      <w:r w:rsidR="00681F5F">
        <w:t>Nuttall</w:t>
      </w:r>
      <w:proofErr w:type="spellEnd"/>
      <w:r w:rsidR="00681F5F">
        <w:t xml:space="preserve"> Consulting noted the workshops scheduled for 27 March 2013 will discuss the mechanics of the models in greater detail.</w:t>
      </w:r>
    </w:p>
    <w:p w:rsidR="007C13AD" w:rsidRPr="007C13AD" w:rsidRDefault="006B4BB9" w:rsidP="00D93A70">
      <w:pPr>
        <w:rPr>
          <w:b/>
        </w:rPr>
      </w:pPr>
      <w:r>
        <w:rPr>
          <w:b/>
        </w:rPr>
        <w:t>2</w:t>
      </w:r>
      <w:r w:rsidR="007C13AD" w:rsidRPr="007C13AD">
        <w:rPr>
          <w:b/>
        </w:rPr>
        <w:tab/>
        <w:t xml:space="preserve">Major issues for discussion </w:t>
      </w:r>
      <w:r w:rsidR="007C13AD">
        <w:rPr>
          <w:b/>
        </w:rPr>
        <w:t xml:space="preserve">and feedback from forum </w:t>
      </w:r>
    </w:p>
    <w:p w:rsidR="00157A96" w:rsidRPr="009A008A" w:rsidRDefault="0079222A">
      <w:r>
        <w:t xml:space="preserve">Forum participants discussed issues </w:t>
      </w:r>
      <w:r w:rsidR="00203A4C">
        <w:t xml:space="preserve">regarding the </w:t>
      </w:r>
      <w:proofErr w:type="spellStart"/>
      <w:r w:rsidR="00203A4C">
        <w:t>repex</w:t>
      </w:r>
      <w:proofErr w:type="spellEnd"/>
      <w:r w:rsidR="00203A4C">
        <w:t xml:space="preserve"> and </w:t>
      </w:r>
      <w:proofErr w:type="spellStart"/>
      <w:r w:rsidR="00203A4C">
        <w:t>augex</w:t>
      </w:r>
      <w:proofErr w:type="spellEnd"/>
      <w:r w:rsidR="00203A4C">
        <w:t xml:space="preserve"> models and associated information requirements</w:t>
      </w:r>
      <w:r w:rsidR="00693E6F">
        <w:t>.</w:t>
      </w:r>
    </w:p>
    <w:p w:rsidR="007B0035" w:rsidRPr="004C67A1" w:rsidRDefault="009A008A">
      <w:pPr>
        <w:rPr>
          <w:i/>
        </w:rPr>
      </w:pPr>
      <w:r>
        <w:rPr>
          <w:i/>
        </w:rPr>
        <w:t xml:space="preserve">General issues with the </w:t>
      </w:r>
      <w:proofErr w:type="spellStart"/>
      <w:r>
        <w:rPr>
          <w:i/>
        </w:rPr>
        <w:t>repex</w:t>
      </w:r>
      <w:proofErr w:type="spellEnd"/>
      <w:r>
        <w:rPr>
          <w:i/>
        </w:rPr>
        <w:t xml:space="preserve"> model and its application</w:t>
      </w:r>
    </w:p>
    <w:p w:rsidR="00794A92" w:rsidRDefault="00EB6BFA" w:rsidP="00EB6BFA">
      <w:r>
        <w:t xml:space="preserve">TNSP representatives stated it was unclear how </w:t>
      </w:r>
      <w:r w:rsidR="00F64C42">
        <w:t>distribution network service providers (</w:t>
      </w:r>
      <w:r>
        <w:t>DNSPs</w:t>
      </w:r>
      <w:r w:rsidR="00F64C42">
        <w:t>)</w:t>
      </w:r>
      <w:r>
        <w:t xml:space="preserve"> used the </w:t>
      </w:r>
      <w:proofErr w:type="spellStart"/>
      <w:r>
        <w:t>repex</w:t>
      </w:r>
      <w:proofErr w:type="spellEnd"/>
      <w:r>
        <w:t xml:space="preserve"> model in the Victorian and Tasmanian distribution determinations. TNSP representatives also asked whether </w:t>
      </w:r>
      <w:proofErr w:type="spellStart"/>
      <w:r>
        <w:t>repex</w:t>
      </w:r>
      <w:proofErr w:type="spellEnd"/>
      <w:r>
        <w:t xml:space="preserve"> model</w:t>
      </w:r>
      <w:r w:rsidR="003E52FA">
        <w:t>’s forecasts</w:t>
      </w:r>
      <w:r>
        <w:t xml:space="preserve"> ha</w:t>
      </w:r>
      <w:r w:rsidR="003E52FA">
        <w:t>ve</w:t>
      </w:r>
      <w:r>
        <w:t xml:space="preserve"> been accura</w:t>
      </w:r>
      <w:r w:rsidR="00F64C42">
        <w:t xml:space="preserve">te in relation to actual </w:t>
      </w:r>
      <w:proofErr w:type="spellStart"/>
      <w:r w:rsidR="00F64C42">
        <w:t>repex</w:t>
      </w:r>
      <w:proofErr w:type="spellEnd"/>
      <w:r w:rsidR="00F64C42">
        <w:t xml:space="preserve">. </w:t>
      </w:r>
      <w:proofErr w:type="spellStart"/>
      <w:r>
        <w:t>Nuttall</w:t>
      </w:r>
      <w:proofErr w:type="spellEnd"/>
      <w:r>
        <w:t xml:space="preserve"> </w:t>
      </w:r>
      <w:proofErr w:type="gramStart"/>
      <w:r>
        <w:t>Consulting</w:t>
      </w:r>
      <w:proofErr w:type="gramEnd"/>
      <w:r>
        <w:t xml:space="preserve"> stated forecasts of the </w:t>
      </w:r>
      <w:proofErr w:type="spellStart"/>
      <w:r>
        <w:t>repex</w:t>
      </w:r>
      <w:proofErr w:type="spellEnd"/>
      <w:r>
        <w:t xml:space="preserve"> model has not yet been compared to actual </w:t>
      </w:r>
      <w:proofErr w:type="spellStart"/>
      <w:r>
        <w:t>repex</w:t>
      </w:r>
      <w:proofErr w:type="spellEnd"/>
      <w:r>
        <w:t xml:space="preserve">. However, the </w:t>
      </w:r>
      <w:proofErr w:type="spellStart"/>
      <w:r>
        <w:t>repex</w:t>
      </w:r>
      <w:proofErr w:type="spellEnd"/>
      <w:r>
        <w:t xml:space="preserve"> model identified several issues that the AER and its consultants targeted for detailed review in </w:t>
      </w:r>
      <w:r w:rsidR="000325C4">
        <w:t>previous</w:t>
      </w:r>
      <w:r>
        <w:t xml:space="preserve"> distribution determination</w:t>
      </w:r>
      <w:r w:rsidR="000325C4">
        <w:t>s</w:t>
      </w:r>
      <w:r>
        <w:t>.</w:t>
      </w:r>
    </w:p>
    <w:p w:rsidR="00B74C35" w:rsidRDefault="003E52FA" w:rsidP="00EB6BFA">
      <w:r>
        <w:t xml:space="preserve">TNSP representatives noted a </w:t>
      </w:r>
      <w:proofErr w:type="spellStart"/>
      <w:r>
        <w:t>repex</w:t>
      </w:r>
      <w:proofErr w:type="spellEnd"/>
      <w:r>
        <w:t xml:space="preserve"> model for TNSPs would not require data disaggregated to the same level as DNSPs because TNSPs have relatively fewer but larger assets.</w:t>
      </w:r>
      <w:r w:rsidR="000325C4">
        <w:t xml:space="preserve"> </w:t>
      </w:r>
      <w:r w:rsidR="00B74C35">
        <w:t xml:space="preserve">The limitations of the model when using data on assets with smaller populations </w:t>
      </w:r>
      <w:r w:rsidR="001339EC">
        <w:t xml:space="preserve">were noted. </w:t>
      </w:r>
      <w:r w:rsidR="001A0E5F">
        <w:t>Energy users considered that such limitations could only be identified through testing the models with TNSP data. The potential pooling of data across NSPs to overcome limited data sets was suggested.</w:t>
      </w:r>
    </w:p>
    <w:p w:rsidR="005B51FC" w:rsidRDefault="005B51FC" w:rsidP="00EB6BFA">
      <w:r>
        <w:t xml:space="preserve">TNSP representatives </w:t>
      </w:r>
      <w:r w:rsidR="000325C4">
        <w:t xml:space="preserve">also </w:t>
      </w:r>
      <w:r>
        <w:t xml:space="preserve">noted </w:t>
      </w:r>
      <w:r w:rsidR="00EC3346">
        <w:t xml:space="preserve">some of the older </w:t>
      </w:r>
      <w:r>
        <w:t>transmission assets in the National Electricity Market are reaching the end of their technical lives</w:t>
      </w:r>
      <w:r w:rsidR="00EC3346">
        <w:t>.</w:t>
      </w:r>
      <w:r>
        <w:t xml:space="preserve"> </w:t>
      </w:r>
      <w:r w:rsidR="00EC3346">
        <w:t>In some cases</w:t>
      </w:r>
      <w:r>
        <w:t xml:space="preserve"> asset</w:t>
      </w:r>
      <w:r w:rsidR="00B8117B">
        <w:t xml:space="preserve"> conditions may</w:t>
      </w:r>
      <w:r>
        <w:t xml:space="preserve"> deteriorat</w:t>
      </w:r>
      <w:r w:rsidR="00EC3346">
        <w:t>e</w:t>
      </w:r>
      <w:r>
        <w:t xml:space="preserve"> more quickly than </w:t>
      </w:r>
      <w:r w:rsidR="00EC3346">
        <w:t xml:space="preserve">their </w:t>
      </w:r>
      <w:r w:rsidR="008A66C0">
        <w:t xml:space="preserve">nominal technical lives, and in other cases assets may remain serviceable for longer than their nominal technical lives. </w:t>
      </w:r>
      <w:r>
        <w:t xml:space="preserve"> Hence the </w:t>
      </w:r>
      <w:proofErr w:type="spellStart"/>
      <w:r>
        <w:t>repex</w:t>
      </w:r>
      <w:proofErr w:type="spellEnd"/>
      <w:r>
        <w:t xml:space="preserve"> model’s use of asset age as a proxy for condition may not be informative. TNSP representatives noted the industry </w:t>
      </w:r>
      <w:r w:rsidR="00EC3346">
        <w:t xml:space="preserve">has used condition based replacement rather than </w:t>
      </w:r>
      <w:r>
        <w:t xml:space="preserve">age-based replacement </w:t>
      </w:r>
      <w:r w:rsidR="00EC3346">
        <w:t>for some time</w:t>
      </w:r>
      <w:r w:rsidR="000325C4">
        <w:t>. Some TNSPs are now</w:t>
      </w:r>
      <w:r w:rsidR="00C51550">
        <w:t xml:space="preserve"> moving toward consequence-based replacement.</w:t>
      </w:r>
      <w:r w:rsidR="001339EC" w:rsidRPr="001339EC">
        <w:t xml:space="preserve"> </w:t>
      </w:r>
      <w:r w:rsidR="001339EC">
        <w:t>It was noted that</w:t>
      </w:r>
      <w:r w:rsidR="00EC3346">
        <w:t xml:space="preserve"> </w:t>
      </w:r>
      <w:r w:rsidR="001339EC">
        <w:t>TNSPs with a smaller number of diverse assets than DNSPs</w:t>
      </w:r>
      <w:r w:rsidR="008A66C0">
        <w:t xml:space="preserve">, an appropriate asset management approach is to regularly monitor detailed asset condition information and </w:t>
      </w:r>
      <w:r w:rsidR="001339EC">
        <w:t xml:space="preserve">rely on </w:t>
      </w:r>
      <w:r w:rsidR="002A4BAB">
        <w:t xml:space="preserve">asset specific </w:t>
      </w:r>
      <w:r w:rsidR="001339EC">
        <w:t xml:space="preserve">condition </w:t>
      </w:r>
      <w:r w:rsidR="002A4BAB">
        <w:t xml:space="preserve">assessments and </w:t>
      </w:r>
      <w:r w:rsidR="001339EC">
        <w:t>management processes when determining replacement needs.</w:t>
      </w:r>
      <w:r w:rsidR="00C857DC">
        <w:t xml:space="preserve">  </w:t>
      </w:r>
    </w:p>
    <w:p w:rsidR="00A03580" w:rsidRDefault="00A03580" w:rsidP="00EB6BFA">
      <w:r>
        <w:t xml:space="preserve">Representatives of energy users </w:t>
      </w:r>
      <w:r w:rsidR="001339EC">
        <w:t xml:space="preserve">expressed a strong view that </w:t>
      </w:r>
      <w:r>
        <w:t xml:space="preserve">the information collected for the purpose of the </w:t>
      </w:r>
      <w:proofErr w:type="spellStart"/>
      <w:r>
        <w:t>repex</w:t>
      </w:r>
      <w:proofErr w:type="spellEnd"/>
      <w:r>
        <w:t xml:space="preserve"> model would be useful in its own right if published by the AER. It would enable energy users to perform their own analysis for their submissions to the AER</w:t>
      </w:r>
      <w:r w:rsidR="001A0E5F">
        <w:t xml:space="preserve"> during revenue determination processes</w:t>
      </w:r>
      <w:r>
        <w:t>, among other purposes.</w:t>
      </w:r>
      <w:r w:rsidR="001339EC">
        <w:t xml:space="preserve"> Some TNSP representatives noted that information on asset lives was already in the public </w:t>
      </w:r>
      <w:proofErr w:type="gramStart"/>
      <w:r w:rsidR="001339EC">
        <w:t>domain,</w:t>
      </w:r>
      <w:proofErr w:type="gramEnd"/>
      <w:r w:rsidR="001339EC">
        <w:t xml:space="preserve"> however expressed a concern that this information could be misleading if published without appropriate context.</w:t>
      </w:r>
    </w:p>
    <w:p w:rsidR="005B586D" w:rsidRPr="004C67A1" w:rsidRDefault="009A008A">
      <w:pPr>
        <w:rPr>
          <w:i/>
        </w:rPr>
      </w:pPr>
      <w:r>
        <w:rPr>
          <w:i/>
        </w:rPr>
        <w:t xml:space="preserve">Cost categories in the </w:t>
      </w:r>
      <w:proofErr w:type="spellStart"/>
      <w:r>
        <w:rPr>
          <w:i/>
        </w:rPr>
        <w:t>repex</w:t>
      </w:r>
      <w:proofErr w:type="spellEnd"/>
      <w:r>
        <w:rPr>
          <w:i/>
        </w:rPr>
        <w:t xml:space="preserve"> model</w:t>
      </w:r>
    </w:p>
    <w:p w:rsidR="00EB6BFA" w:rsidRDefault="00F64C42">
      <w:r>
        <w:t>Forum participants</w:t>
      </w:r>
      <w:r w:rsidR="00DC2538">
        <w:t xml:space="preserve"> explored possible disaggregation</w:t>
      </w:r>
      <w:r>
        <w:t xml:space="preserve"> levels</w:t>
      </w:r>
      <w:r w:rsidR="00C661F8">
        <w:t xml:space="preserve"> for several TNSP asset classes</w:t>
      </w:r>
      <w:r>
        <w:t>, particularly</w:t>
      </w:r>
      <w:r w:rsidR="00DC2538">
        <w:t xml:space="preserve"> towers, substations, and circuit breakers</w:t>
      </w:r>
      <w:r>
        <w:t>. Forum participants</w:t>
      </w:r>
      <w:r w:rsidR="00C661F8">
        <w:t xml:space="preserve"> </w:t>
      </w:r>
      <w:r>
        <w:t xml:space="preserve">also </w:t>
      </w:r>
      <w:r w:rsidR="00C661F8">
        <w:t xml:space="preserve">noted issues in using such information for assessing </w:t>
      </w:r>
      <w:proofErr w:type="spellStart"/>
      <w:r w:rsidR="00C661F8">
        <w:t>repex</w:t>
      </w:r>
      <w:proofErr w:type="spellEnd"/>
      <w:r w:rsidR="00C661F8">
        <w:t xml:space="preserve"> forecasts</w:t>
      </w:r>
      <w:r w:rsidR="00DC2538">
        <w:t>.</w:t>
      </w:r>
    </w:p>
    <w:p w:rsidR="00C661F8" w:rsidRDefault="00DC2538">
      <w:r>
        <w:lastRenderedPageBreak/>
        <w:t xml:space="preserve">It was noted different states have different standards for </w:t>
      </w:r>
      <w:r w:rsidR="00611C77">
        <w:t>towers;</w:t>
      </w:r>
      <w:r>
        <w:t xml:space="preserve"> hence TNSPs have different compositions of </w:t>
      </w:r>
      <w:r w:rsidR="00F64C42">
        <w:t xml:space="preserve">tower types </w:t>
      </w:r>
      <w:r>
        <w:t xml:space="preserve">(for example, strain towers, ordinary towers, reinforced towers, and so on). </w:t>
      </w:r>
      <w:r w:rsidR="00FF14F6">
        <w:t xml:space="preserve">There is also the question of what constitutes a “tower” for the purpose of collecting information for the </w:t>
      </w:r>
      <w:proofErr w:type="spellStart"/>
      <w:r w:rsidR="00FF14F6">
        <w:t>repex</w:t>
      </w:r>
      <w:proofErr w:type="spellEnd"/>
      <w:r w:rsidR="00FF14F6">
        <w:t xml:space="preserve"> model, and whether it should include tower structures such as insulators. </w:t>
      </w:r>
      <w:r>
        <w:t xml:space="preserve">Other considerations for assessing </w:t>
      </w:r>
      <w:proofErr w:type="spellStart"/>
      <w:r>
        <w:t>repex</w:t>
      </w:r>
      <w:proofErr w:type="spellEnd"/>
      <w:r>
        <w:t xml:space="preserve"> for towers include topography and the number of circuits in the towers.</w:t>
      </w:r>
    </w:p>
    <w:p w:rsidR="00FF14F6" w:rsidRDefault="00FF14F6">
      <w:r>
        <w:t xml:space="preserve">Regarding substations, energy user representatives suggested disaggregation by major asset components such as </w:t>
      </w:r>
      <w:proofErr w:type="spellStart"/>
      <w:r>
        <w:t>switchbays</w:t>
      </w:r>
      <w:proofErr w:type="spellEnd"/>
      <w:r>
        <w:t xml:space="preserve">, isolators, busbars, insulators, cabling, power </w:t>
      </w:r>
      <w:r w:rsidR="00683433">
        <w:t xml:space="preserve">factor </w:t>
      </w:r>
      <w:r>
        <w:t>correction, and so on.</w:t>
      </w:r>
      <w:r w:rsidR="00D35494">
        <w:t xml:space="preserve"> </w:t>
      </w:r>
      <w:r>
        <w:t>Similarly, it was suggested circuit breakers can be disaggregated by program, by site, by bay, and whether it is AIS or GIS.</w:t>
      </w:r>
    </w:p>
    <w:p w:rsidR="0046257F" w:rsidRDefault="0046257F">
      <w:r>
        <w:t>AER staff noted it had been sharing information with AEMO for the purposes of developing a “price book” containing the cost of particular assets and of projects developed by TNSPs</w:t>
      </w:r>
      <w:r w:rsidR="00D24BD0">
        <w:t xml:space="preserve"> and this sharing of information will continue</w:t>
      </w:r>
      <w:r>
        <w:t>. It was noted this information may be useful in the assessment of a TNSP’s expenditure proposal and the categories therein may align with that is required for the AER’s models.</w:t>
      </w:r>
    </w:p>
    <w:p w:rsidR="00A35BDA" w:rsidRDefault="00A35BDA">
      <w:r>
        <w:t xml:space="preserve">AER </w:t>
      </w:r>
      <w:r w:rsidR="0046257F">
        <w:t xml:space="preserve">staff undertook to circulate </w:t>
      </w:r>
      <w:r>
        <w:t xml:space="preserve">a draft proposal of asset categories for the purpose of populating the </w:t>
      </w:r>
      <w:proofErr w:type="spellStart"/>
      <w:r>
        <w:t>repex</w:t>
      </w:r>
      <w:proofErr w:type="spellEnd"/>
      <w:r>
        <w:t xml:space="preserve"> model and more generally to enable the AER to assess TNSPs’ </w:t>
      </w:r>
      <w:proofErr w:type="spellStart"/>
      <w:r>
        <w:t>repex</w:t>
      </w:r>
      <w:proofErr w:type="spellEnd"/>
      <w:r>
        <w:t xml:space="preserve"> forecasts.</w:t>
      </w:r>
      <w:r w:rsidR="005727AE">
        <w:t xml:space="preserve"> </w:t>
      </w:r>
      <w:r w:rsidR="0046257F">
        <w:t xml:space="preserve">This would be provided to </w:t>
      </w:r>
      <w:r w:rsidR="005727AE">
        <w:t>stakeholders after 15 March 2013.</w:t>
      </w:r>
      <w:r w:rsidR="0067717F">
        <w:t xml:space="preserve"> A TNSP representative will also provide a reference/guide for </w:t>
      </w:r>
      <w:proofErr w:type="spellStart"/>
      <w:r w:rsidR="0067717F">
        <w:t>repex</w:t>
      </w:r>
      <w:proofErr w:type="spellEnd"/>
      <w:r w:rsidR="0067717F">
        <w:t xml:space="preserve"> categories</w:t>
      </w:r>
      <w:r w:rsidR="00F64C42">
        <w:t xml:space="preserve"> for TNSPs</w:t>
      </w:r>
      <w:r w:rsidR="0067717F">
        <w:t>.</w:t>
      </w:r>
    </w:p>
    <w:p w:rsidR="00591FFF" w:rsidRPr="00591FFF" w:rsidRDefault="004B5FA4">
      <w:pPr>
        <w:rPr>
          <w:i/>
        </w:rPr>
      </w:pPr>
      <w:r>
        <w:rPr>
          <w:i/>
        </w:rPr>
        <w:t xml:space="preserve">General issues with the </w:t>
      </w:r>
      <w:proofErr w:type="spellStart"/>
      <w:r>
        <w:rPr>
          <w:i/>
        </w:rPr>
        <w:t>aug</w:t>
      </w:r>
      <w:r w:rsidR="00B70936">
        <w:rPr>
          <w:i/>
        </w:rPr>
        <w:t>ex</w:t>
      </w:r>
      <w:proofErr w:type="spellEnd"/>
      <w:r w:rsidR="00B70936">
        <w:rPr>
          <w:i/>
        </w:rPr>
        <w:t xml:space="preserve"> model and its application</w:t>
      </w:r>
    </w:p>
    <w:p w:rsidR="00591FFF" w:rsidRDefault="009E506D">
      <w:proofErr w:type="spellStart"/>
      <w:r>
        <w:t>Nuttall</w:t>
      </w:r>
      <w:proofErr w:type="spellEnd"/>
      <w:r>
        <w:t xml:space="preserve"> Consulting noted an </w:t>
      </w:r>
      <w:proofErr w:type="spellStart"/>
      <w:r>
        <w:t>augex</w:t>
      </w:r>
      <w:proofErr w:type="spellEnd"/>
      <w:r>
        <w:t xml:space="preserve"> model may not be as useful for assessing TNSPs’ forecast </w:t>
      </w:r>
      <w:proofErr w:type="spellStart"/>
      <w:r>
        <w:t>augex</w:t>
      </w:r>
      <w:proofErr w:type="spellEnd"/>
      <w:r>
        <w:t xml:space="preserve">. However, </w:t>
      </w:r>
      <w:proofErr w:type="spellStart"/>
      <w:r>
        <w:t>Nuttall</w:t>
      </w:r>
      <w:proofErr w:type="spellEnd"/>
      <w:r>
        <w:t xml:space="preserve"> Consulting</w:t>
      </w:r>
      <w:r w:rsidR="00F64C42">
        <w:t xml:space="preserve"> and </w:t>
      </w:r>
      <w:r>
        <w:t>energy user</w:t>
      </w:r>
      <w:r w:rsidR="00F64C42">
        <w:t>s</w:t>
      </w:r>
      <w:r>
        <w:t xml:space="preserve"> representatives consider</w:t>
      </w:r>
      <w:r w:rsidR="00F64C42">
        <w:t>ed</w:t>
      </w:r>
      <w:r>
        <w:t xml:space="preserve"> the data collected for the </w:t>
      </w:r>
      <w:proofErr w:type="spellStart"/>
      <w:r>
        <w:t>augex</w:t>
      </w:r>
      <w:proofErr w:type="spellEnd"/>
      <w:r>
        <w:t xml:space="preserve"> model will still be useful for assessing TNSP </w:t>
      </w:r>
      <w:proofErr w:type="spellStart"/>
      <w:r>
        <w:t>augex</w:t>
      </w:r>
      <w:proofErr w:type="spellEnd"/>
      <w:r>
        <w:t xml:space="preserve"> forecasts.</w:t>
      </w:r>
    </w:p>
    <w:p w:rsidR="00E06BFA" w:rsidRDefault="00397A8E">
      <w:r>
        <w:t xml:space="preserve">TNSP representatives noted the </w:t>
      </w:r>
      <w:proofErr w:type="spellStart"/>
      <w:r>
        <w:t>augex</w:t>
      </w:r>
      <w:proofErr w:type="spellEnd"/>
      <w:r>
        <w:t xml:space="preserve"> model does not account for the influence of generation on </w:t>
      </w:r>
      <w:proofErr w:type="spellStart"/>
      <w:r>
        <w:t>augex</w:t>
      </w:r>
      <w:proofErr w:type="spellEnd"/>
      <w:r>
        <w:t xml:space="preserve"> forecasts. </w:t>
      </w:r>
      <w:r w:rsidR="0016564C">
        <w:t xml:space="preserve">Potential limitations of the </w:t>
      </w:r>
      <w:proofErr w:type="spellStart"/>
      <w:r w:rsidR="0016564C">
        <w:t>augex</w:t>
      </w:r>
      <w:proofErr w:type="spellEnd"/>
      <w:r w:rsidR="0016564C">
        <w:t xml:space="preserve"> model in dealing with meshed networks and in how investments affected energy flows were noted. </w:t>
      </w:r>
      <w:r>
        <w:t xml:space="preserve">AER </w:t>
      </w:r>
      <w:r w:rsidR="0016564C">
        <w:t xml:space="preserve">staff </w:t>
      </w:r>
      <w:r>
        <w:t xml:space="preserve">noted </w:t>
      </w:r>
      <w:r w:rsidR="0016564C">
        <w:t xml:space="preserve">they </w:t>
      </w:r>
      <w:r w:rsidR="00CA1BB5">
        <w:t>will consider th</w:t>
      </w:r>
      <w:r w:rsidR="0016564C">
        <w:t xml:space="preserve">ese </w:t>
      </w:r>
      <w:r w:rsidR="00CA1BB5">
        <w:t>matter</w:t>
      </w:r>
      <w:r w:rsidR="0016564C">
        <w:t>s</w:t>
      </w:r>
      <w:r w:rsidR="005622A0">
        <w:t xml:space="preserve"> in </w:t>
      </w:r>
      <w:r w:rsidR="0016564C">
        <w:t xml:space="preserve">the </w:t>
      </w:r>
      <w:r w:rsidR="005622A0">
        <w:t xml:space="preserve">ongoing development of the </w:t>
      </w:r>
      <w:proofErr w:type="spellStart"/>
      <w:r w:rsidR="005622A0">
        <w:t>augex</w:t>
      </w:r>
      <w:proofErr w:type="spellEnd"/>
      <w:r w:rsidR="005622A0">
        <w:t xml:space="preserve"> model.</w:t>
      </w:r>
      <w:r w:rsidR="00E06BFA">
        <w:t xml:space="preserve"> TNSP representatives also stated the AER should note several TNSPs use a probabilistic approach to forecasting capex, particularly </w:t>
      </w:r>
      <w:proofErr w:type="spellStart"/>
      <w:r w:rsidR="00E06BFA">
        <w:t>augex</w:t>
      </w:r>
      <w:proofErr w:type="spellEnd"/>
      <w:r w:rsidR="00E06BFA">
        <w:t xml:space="preserve">, when interpreting the results of the </w:t>
      </w:r>
      <w:proofErr w:type="spellStart"/>
      <w:r w:rsidR="00E06BFA">
        <w:t>augex</w:t>
      </w:r>
      <w:proofErr w:type="spellEnd"/>
      <w:r w:rsidR="00E06BFA">
        <w:t xml:space="preserve"> model.</w:t>
      </w:r>
      <w:r w:rsidR="0016564C">
        <w:t xml:space="preserve"> </w:t>
      </w:r>
    </w:p>
    <w:p w:rsidR="00E30BA8" w:rsidRPr="004C67A1" w:rsidRDefault="004B5FA4" w:rsidP="001A2ACA">
      <w:pPr>
        <w:rPr>
          <w:i/>
        </w:rPr>
      </w:pPr>
      <w:r>
        <w:rPr>
          <w:i/>
        </w:rPr>
        <w:t xml:space="preserve">Cost categories in the </w:t>
      </w:r>
      <w:proofErr w:type="spellStart"/>
      <w:r>
        <w:rPr>
          <w:i/>
        </w:rPr>
        <w:t>augex</w:t>
      </w:r>
      <w:proofErr w:type="spellEnd"/>
      <w:r>
        <w:rPr>
          <w:i/>
        </w:rPr>
        <w:t xml:space="preserve"> model</w:t>
      </w:r>
    </w:p>
    <w:p w:rsidR="0070630B" w:rsidRDefault="00E65CB8" w:rsidP="00B33ECD">
      <w:r>
        <w:t xml:space="preserve">AER </w:t>
      </w:r>
      <w:r w:rsidR="0016564C">
        <w:t xml:space="preserve">staff </w:t>
      </w:r>
      <w:r>
        <w:t xml:space="preserve">suggested </w:t>
      </w:r>
      <w:r w:rsidR="0016564C">
        <w:t xml:space="preserve">they </w:t>
      </w:r>
      <w:r>
        <w:t xml:space="preserve">will create a draft proposal of asset categories for the purpose of populating the </w:t>
      </w:r>
      <w:proofErr w:type="spellStart"/>
      <w:r>
        <w:t>augex</w:t>
      </w:r>
      <w:proofErr w:type="spellEnd"/>
      <w:r>
        <w:t xml:space="preserve"> model and more generally to enable the AER to assess TNSPs’ </w:t>
      </w:r>
      <w:proofErr w:type="spellStart"/>
      <w:r>
        <w:t>augex</w:t>
      </w:r>
      <w:proofErr w:type="spellEnd"/>
      <w:r>
        <w:t xml:space="preserve"> forecasts. </w:t>
      </w:r>
      <w:r w:rsidR="0016564C">
        <w:t xml:space="preserve">This would be </w:t>
      </w:r>
      <w:r>
        <w:t>provide</w:t>
      </w:r>
      <w:r w:rsidR="0016564C">
        <w:t xml:space="preserve">d </w:t>
      </w:r>
      <w:r>
        <w:t xml:space="preserve">to stakeholders after 15 March 2013. </w:t>
      </w:r>
    </w:p>
    <w:p w:rsidR="00B33ECD" w:rsidRDefault="006B4BB9" w:rsidP="00B33ECD">
      <w:pPr>
        <w:rPr>
          <w:b/>
        </w:rPr>
      </w:pPr>
      <w:r>
        <w:rPr>
          <w:b/>
        </w:rPr>
        <w:t>3</w:t>
      </w:r>
      <w:r w:rsidR="00B33ECD">
        <w:rPr>
          <w:b/>
        </w:rPr>
        <w:tab/>
        <w:t>Other matters</w:t>
      </w:r>
    </w:p>
    <w:p w:rsidR="00D615EB" w:rsidRDefault="00D615EB" w:rsidP="00D615EB">
      <w:r>
        <w:t xml:space="preserve">TNSP representatives </w:t>
      </w:r>
      <w:r w:rsidR="00F64C42">
        <w:t>stated</w:t>
      </w:r>
      <w:r>
        <w:t xml:space="preserve"> the draft and final expenditure forecast assessment guidelines should clearly delineate between TNSPs and DNSPs.</w:t>
      </w:r>
      <w:r w:rsidR="0046257F">
        <w:t xml:space="preserve"> They also requested the AER publish more detail on the </w:t>
      </w:r>
      <w:r w:rsidR="0046257F">
        <w:lastRenderedPageBreak/>
        <w:t>expected content of working group meetings and to consider allowing more than one person from each organisation to attend and assist in technical discussions.</w:t>
      </w:r>
    </w:p>
    <w:p w:rsidR="001934EC" w:rsidRDefault="0046257F" w:rsidP="00B33ECD">
      <w:r>
        <w:t xml:space="preserve">Energy users requested the AER confirm the public availability of </w:t>
      </w:r>
      <w:r w:rsidR="00D24BD0">
        <w:t>the post-tax</w:t>
      </w:r>
      <w:r>
        <w:t xml:space="preserve"> revenue models</w:t>
      </w:r>
      <w:r w:rsidR="00D24BD0">
        <w:t xml:space="preserve"> from final determinations</w:t>
      </w:r>
      <w:r>
        <w:t xml:space="preserve"> (containing asset information).</w:t>
      </w:r>
      <w:r w:rsidR="00B33ECD">
        <w:tab/>
      </w:r>
    </w:p>
    <w:p w:rsidR="001934EC" w:rsidRPr="001934EC" w:rsidRDefault="001934EC" w:rsidP="001934EC">
      <w:pPr>
        <w:pStyle w:val="Heading1"/>
        <w:pageBreakBefore/>
        <w:rPr>
          <w:rFonts w:ascii="Calibri" w:hAnsi="Calibri"/>
        </w:rPr>
      </w:pPr>
      <w:r w:rsidRPr="001934EC">
        <w:rPr>
          <w:rFonts w:ascii="Calibri" w:hAnsi="Calibri"/>
        </w:rPr>
        <w:lastRenderedPageBreak/>
        <w:t>Attachment A</w:t>
      </w:r>
      <w:r>
        <w:rPr>
          <w:rFonts w:ascii="Calibri" w:hAnsi="Calibri"/>
        </w:rPr>
        <w:t xml:space="preserve">: </w:t>
      </w:r>
      <w:r w:rsidRPr="001934EC">
        <w:rPr>
          <w:rFonts w:ascii="Calibri" w:hAnsi="Calibri"/>
        </w:rPr>
        <w:t>Attendee list</w:t>
      </w:r>
    </w:p>
    <w:p w:rsidR="001934EC" w:rsidRPr="001934EC" w:rsidRDefault="001934EC" w:rsidP="001934EC">
      <w:pPr>
        <w:rPr>
          <w:b/>
        </w:rPr>
      </w:pPr>
      <w:r w:rsidRPr="001934EC">
        <w:rPr>
          <w:b/>
        </w:rPr>
        <w:t xml:space="preserve">Melbourne </w:t>
      </w:r>
      <w:r>
        <w:rPr>
          <w:b/>
        </w:rP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1934EC" w:rsidRPr="00C328B4" w:rsidTr="001934EC">
        <w:trPr>
          <w:trHeight w:val="300"/>
        </w:trPr>
        <w:tc>
          <w:tcPr>
            <w:tcW w:w="2422" w:type="dxa"/>
            <w:shd w:val="clear" w:color="auto" w:fill="auto"/>
            <w:noWrap/>
            <w:vAlign w:val="bottom"/>
            <w:hideMark/>
          </w:tcPr>
          <w:p w:rsidR="001934EC" w:rsidRPr="00C328B4" w:rsidRDefault="001934EC" w:rsidP="001934EC">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1934EC" w:rsidRPr="00C328B4" w:rsidRDefault="001934EC" w:rsidP="001934EC">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8F1687" w:rsidRPr="00C328B4" w:rsidTr="001934EC">
        <w:trPr>
          <w:trHeight w:val="300"/>
        </w:trPr>
        <w:tc>
          <w:tcPr>
            <w:tcW w:w="2422" w:type="dxa"/>
            <w:shd w:val="clear" w:color="auto" w:fill="auto"/>
            <w:noWrap/>
            <w:vAlign w:val="bottom"/>
            <w:hideMark/>
          </w:tcPr>
          <w:p w:rsidR="008F1687" w:rsidRPr="00282E52" w:rsidRDefault="008F1687" w:rsidP="008F1687">
            <w:pPr>
              <w:spacing w:after="0" w:line="240" w:lineRule="auto"/>
              <w:rPr>
                <w:rFonts w:eastAsia="Times New Roman"/>
                <w:color w:val="000000"/>
                <w:lang w:eastAsia="en-AU"/>
              </w:rPr>
            </w:pPr>
            <w:r>
              <w:rPr>
                <w:rFonts w:eastAsia="Times New Roman"/>
                <w:color w:val="000000"/>
                <w:lang w:eastAsia="en-AU"/>
              </w:rPr>
              <w:t>Jennifer Harris</w:t>
            </w:r>
          </w:p>
        </w:tc>
        <w:tc>
          <w:tcPr>
            <w:tcW w:w="3686" w:type="dxa"/>
            <w:shd w:val="clear" w:color="auto" w:fill="auto"/>
            <w:noWrap/>
            <w:vAlign w:val="bottom"/>
            <w:hideMark/>
          </w:tcPr>
          <w:p w:rsidR="008F1687" w:rsidRPr="00282E52" w:rsidRDefault="008F1687" w:rsidP="008F1687">
            <w:pPr>
              <w:spacing w:after="0" w:line="240" w:lineRule="auto"/>
              <w:rPr>
                <w:rFonts w:eastAsia="Times New Roman"/>
                <w:color w:val="000000"/>
                <w:lang w:eastAsia="en-AU"/>
              </w:rPr>
            </w:pPr>
            <w:r>
              <w:rPr>
                <w:rFonts w:eastAsia="Times New Roman"/>
                <w:color w:val="000000"/>
                <w:lang w:eastAsia="en-AU"/>
              </w:rPr>
              <w:t>Powerlink</w:t>
            </w:r>
          </w:p>
        </w:tc>
      </w:tr>
      <w:tr w:rsidR="008F1687" w:rsidRPr="00BC4991" w:rsidTr="001934EC">
        <w:trPr>
          <w:trHeight w:val="300"/>
        </w:trPr>
        <w:tc>
          <w:tcPr>
            <w:tcW w:w="2422" w:type="dxa"/>
            <w:shd w:val="clear" w:color="auto" w:fill="auto"/>
            <w:noWrap/>
            <w:vAlign w:val="bottom"/>
            <w:hideMark/>
          </w:tcPr>
          <w:p w:rsidR="008F1687" w:rsidRPr="00282E52" w:rsidRDefault="004F319E" w:rsidP="008F1687">
            <w:pPr>
              <w:spacing w:after="0" w:line="240" w:lineRule="auto"/>
              <w:rPr>
                <w:rFonts w:eastAsia="Times New Roman"/>
                <w:color w:val="000000"/>
                <w:lang w:eastAsia="en-AU"/>
              </w:rPr>
            </w:pPr>
            <w:r>
              <w:rPr>
                <w:rFonts w:eastAsia="Times New Roman"/>
                <w:color w:val="000000"/>
                <w:lang w:eastAsia="en-AU"/>
              </w:rPr>
              <w:t>David Dawson</w:t>
            </w:r>
          </w:p>
        </w:tc>
        <w:tc>
          <w:tcPr>
            <w:tcW w:w="3686" w:type="dxa"/>
            <w:shd w:val="clear" w:color="auto" w:fill="auto"/>
            <w:noWrap/>
            <w:vAlign w:val="bottom"/>
            <w:hideMark/>
          </w:tcPr>
          <w:p w:rsidR="008F1687" w:rsidRPr="00282E52" w:rsidRDefault="004F319E" w:rsidP="008F1687">
            <w:pPr>
              <w:spacing w:after="0" w:line="240" w:lineRule="auto"/>
              <w:rPr>
                <w:rFonts w:eastAsia="Times New Roman"/>
                <w:color w:val="000000"/>
                <w:lang w:eastAsia="en-AU"/>
              </w:rPr>
            </w:pPr>
            <w:r>
              <w:rPr>
                <w:rFonts w:eastAsia="Times New Roman"/>
                <w:color w:val="000000"/>
                <w:lang w:eastAsia="en-AU"/>
              </w:rPr>
              <w:t>Strategic Economics Consulting Group</w:t>
            </w:r>
          </w:p>
        </w:tc>
      </w:tr>
      <w:tr w:rsidR="004F319E" w:rsidRPr="00BC4991" w:rsidTr="001934EC">
        <w:trPr>
          <w:trHeight w:val="300"/>
        </w:trPr>
        <w:tc>
          <w:tcPr>
            <w:tcW w:w="2422" w:type="dxa"/>
            <w:shd w:val="clear" w:color="auto" w:fill="auto"/>
            <w:noWrap/>
            <w:vAlign w:val="bottom"/>
            <w:hideMark/>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 xml:space="preserve">David </w:t>
            </w:r>
            <w:proofErr w:type="spellStart"/>
            <w:r>
              <w:rPr>
                <w:rFonts w:eastAsia="Times New Roman"/>
                <w:color w:val="000000"/>
                <w:lang w:eastAsia="en-AU"/>
              </w:rPr>
              <w:t>Headberry</w:t>
            </w:r>
            <w:proofErr w:type="spellEnd"/>
          </w:p>
        </w:tc>
        <w:tc>
          <w:tcPr>
            <w:tcW w:w="3686" w:type="dxa"/>
            <w:shd w:val="clear" w:color="auto" w:fill="auto"/>
            <w:noWrap/>
            <w:vAlign w:val="bottom"/>
            <w:hideMark/>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Major Energy Users</w:t>
            </w:r>
          </w:p>
        </w:tc>
      </w:tr>
      <w:tr w:rsidR="004F319E" w:rsidRPr="00BC4991" w:rsidTr="001934EC">
        <w:trPr>
          <w:trHeight w:val="300"/>
        </w:trPr>
        <w:tc>
          <w:tcPr>
            <w:tcW w:w="2422" w:type="dxa"/>
            <w:shd w:val="clear" w:color="auto" w:fill="auto"/>
            <w:noWrap/>
            <w:vAlign w:val="bottom"/>
            <w:hideMark/>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 xml:space="preserve">Frank </w:t>
            </w:r>
            <w:proofErr w:type="spellStart"/>
            <w:r>
              <w:rPr>
                <w:rFonts w:eastAsia="Times New Roman"/>
                <w:color w:val="000000"/>
                <w:lang w:eastAsia="en-AU"/>
              </w:rPr>
              <w:t>Montiel</w:t>
            </w:r>
            <w:proofErr w:type="spellEnd"/>
          </w:p>
        </w:tc>
        <w:tc>
          <w:tcPr>
            <w:tcW w:w="3686" w:type="dxa"/>
            <w:shd w:val="clear" w:color="auto" w:fill="auto"/>
            <w:noWrap/>
            <w:vAlign w:val="bottom"/>
            <w:hideMark/>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Australian Energy Market Operator</w:t>
            </w:r>
          </w:p>
        </w:tc>
      </w:tr>
      <w:tr w:rsidR="004F319E" w:rsidRPr="00BC4991" w:rsidTr="001934EC">
        <w:trPr>
          <w:trHeight w:val="300"/>
        </w:trPr>
        <w:tc>
          <w:tcPr>
            <w:tcW w:w="2422"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Bruce Mountain</w:t>
            </w:r>
          </w:p>
        </w:tc>
        <w:tc>
          <w:tcPr>
            <w:tcW w:w="3686"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CME (for EUAA)</w:t>
            </w:r>
          </w:p>
        </w:tc>
      </w:tr>
      <w:tr w:rsidR="004F319E" w:rsidRPr="00BC4991" w:rsidTr="001934EC">
        <w:trPr>
          <w:trHeight w:val="300"/>
        </w:trPr>
        <w:tc>
          <w:tcPr>
            <w:tcW w:w="2422"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r>
              <w:rPr>
                <w:rFonts w:eastAsia="Times New Roman"/>
                <w:color w:val="000000"/>
                <w:lang w:eastAsia="en-AU"/>
              </w:rPr>
              <w:t xml:space="preserve">Brian </w:t>
            </w:r>
            <w:proofErr w:type="spellStart"/>
            <w:r>
              <w:rPr>
                <w:rFonts w:eastAsia="Times New Roman"/>
                <w:color w:val="000000"/>
                <w:lang w:eastAsia="en-AU"/>
              </w:rPr>
              <w:t>Nuttall</w:t>
            </w:r>
            <w:proofErr w:type="spellEnd"/>
          </w:p>
        </w:tc>
        <w:tc>
          <w:tcPr>
            <w:tcW w:w="3686"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proofErr w:type="spellStart"/>
            <w:r>
              <w:rPr>
                <w:rFonts w:eastAsia="Times New Roman"/>
                <w:color w:val="000000"/>
                <w:lang w:eastAsia="en-AU"/>
              </w:rPr>
              <w:t>Nuttall</w:t>
            </w:r>
            <w:proofErr w:type="spellEnd"/>
            <w:r>
              <w:rPr>
                <w:rFonts w:eastAsia="Times New Roman"/>
                <w:color w:val="000000"/>
                <w:lang w:eastAsia="en-AU"/>
              </w:rPr>
              <w:t xml:space="preserve"> Consulting</w:t>
            </w:r>
          </w:p>
        </w:tc>
      </w:tr>
      <w:tr w:rsidR="004F319E" w:rsidRPr="00BC4991" w:rsidTr="001934EC">
        <w:trPr>
          <w:trHeight w:val="300"/>
        </w:trPr>
        <w:tc>
          <w:tcPr>
            <w:tcW w:w="2422"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r w:rsidRPr="00BC4991">
              <w:rPr>
                <w:rFonts w:eastAsia="Times New Roman"/>
                <w:color w:val="000000"/>
                <w:lang w:eastAsia="en-AU"/>
              </w:rPr>
              <w:t>Michael Seddon</w:t>
            </w:r>
          </w:p>
        </w:tc>
        <w:tc>
          <w:tcPr>
            <w:tcW w:w="3686" w:type="dxa"/>
            <w:shd w:val="clear" w:color="auto" w:fill="auto"/>
            <w:noWrap/>
            <w:vAlign w:val="bottom"/>
          </w:tcPr>
          <w:p w:rsidR="004F319E" w:rsidRPr="00282E52" w:rsidRDefault="004F319E" w:rsidP="00794A92">
            <w:pPr>
              <w:spacing w:after="0" w:line="240" w:lineRule="auto"/>
              <w:rPr>
                <w:rFonts w:eastAsia="Times New Roman"/>
                <w:color w:val="000000"/>
                <w:lang w:eastAsia="en-AU"/>
              </w:rPr>
            </w:pPr>
            <w:proofErr w:type="spellStart"/>
            <w:r>
              <w:rPr>
                <w:rFonts w:eastAsia="Times New Roman"/>
                <w:color w:val="000000"/>
                <w:lang w:eastAsia="en-AU"/>
              </w:rPr>
              <w:t>Transend</w:t>
            </w:r>
            <w:proofErr w:type="spellEnd"/>
            <w:r>
              <w:rPr>
                <w:rFonts w:eastAsia="Times New Roman"/>
                <w:color w:val="000000"/>
                <w:lang w:eastAsia="en-AU"/>
              </w:rPr>
              <w:t xml:space="preserve"> Networks</w:t>
            </w:r>
          </w:p>
        </w:tc>
      </w:tr>
      <w:tr w:rsidR="004E7F55" w:rsidRPr="00BC4991"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Katie Yates</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 xml:space="preserve">SP </w:t>
            </w:r>
            <w:proofErr w:type="spellStart"/>
            <w:r>
              <w:rPr>
                <w:rFonts w:eastAsia="Times New Roman"/>
                <w:color w:val="000000"/>
                <w:lang w:eastAsia="en-AU"/>
              </w:rPr>
              <w:t>AusNet</w:t>
            </w:r>
            <w:proofErr w:type="spellEnd"/>
          </w:p>
        </w:tc>
      </w:tr>
      <w:tr w:rsidR="004E7F55" w:rsidRPr="00BC4991"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Paul Dunn</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Israel del Mundo</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Matthew Simpson</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Anthony Seipolt</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Esmond Smith</w:t>
            </w: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1934EC">
        <w:trPr>
          <w:trHeight w:val="300"/>
        </w:trPr>
        <w:tc>
          <w:tcPr>
            <w:tcW w:w="2422"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p>
        </w:tc>
        <w:tc>
          <w:tcPr>
            <w:tcW w:w="3686" w:type="dxa"/>
            <w:shd w:val="clear" w:color="auto" w:fill="auto"/>
            <w:noWrap/>
            <w:vAlign w:val="bottom"/>
          </w:tcPr>
          <w:p w:rsidR="004E7F55" w:rsidRPr="00282E52" w:rsidRDefault="004E7F55" w:rsidP="00794A92">
            <w:pPr>
              <w:spacing w:after="0" w:line="240" w:lineRule="auto"/>
              <w:rPr>
                <w:rFonts w:eastAsia="Times New Roman"/>
                <w:color w:val="000000"/>
                <w:lang w:eastAsia="en-AU"/>
              </w:rPr>
            </w:pPr>
          </w:p>
        </w:tc>
      </w:tr>
      <w:tr w:rsidR="004E7F55" w:rsidRPr="00C328B4" w:rsidTr="001934EC">
        <w:trPr>
          <w:trHeight w:val="300"/>
        </w:trPr>
        <w:tc>
          <w:tcPr>
            <w:tcW w:w="2422" w:type="dxa"/>
            <w:shd w:val="clear" w:color="auto" w:fill="auto"/>
            <w:noWrap/>
            <w:vAlign w:val="bottom"/>
          </w:tcPr>
          <w:p w:rsidR="004E7F55" w:rsidRPr="00282E52" w:rsidRDefault="004E7F55" w:rsidP="001171E5">
            <w:pPr>
              <w:spacing w:after="0" w:line="240" w:lineRule="auto"/>
              <w:rPr>
                <w:rFonts w:eastAsia="Times New Roman"/>
                <w:color w:val="000000"/>
                <w:lang w:eastAsia="en-AU"/>
              </w:rPr>
            </w:pPr>
          </w:p>
        </w:tc>
        <w:tc>
          <w:tcPr>
            <w:tcW w:w="3686" w:type="dxa"/>
            <w:shd w:val="clear" w:color="auto" w:fill="auto"/>
            <w:noWrap/>
            <w:vAlign w:val="bottom"/>
          </w:tcPr>
          <w:p w:rsidR="004E7F55" w:rsidRPr="00282E52" w:rsidRDefault="004E7F55" w:rsidP="001934EC">
            <w:pPr>
              <w:spacing w:after="0" w:line="240" w:lineRule="auto"/>
              <w:rPr>
                <w:rFonts w:eastAsia="Times New Roman"/>
                <w:color w:val="000000"/>
                <w:lang w:eastAsia="en-AU"/>
              </w:rPr>
            </w:pPr>
          </w:p>
        </w:tc>
      </w:tr>
      <w:tr w:rsidR="004E7F55" w:rsidRPr="00C328B4" w:rsidTr="001934EC">
        <w:trPr>
          <w:trHeight w:val="300"/>
        </w:trPr>
        <w:tc>
          <w:tcPr>
            <w:tcW w:w="2422" w:type="dxa"/>
            <w:shd w:val="clear" w:color="auto" w:fill="auto"/>
            <w:noWrap/>
            <w:vAlign w:val="bottom"/>
          </w:tcPr>
          <w:p w:rsidR="004E7F55" w:rsidRPr="00282E52" w:rsidRDefault="004E7F55" w:rsidP="001934EC">
            <w:pPr>
              <w:spacing w:after="0" w:line="240" w:lineRule="auto"/>
              <w:rPr>
                <w:rFonts w:eastAsia="Times New Roman"/>
                <w:color w:val="000000"/>
                <w:lang w:eastAsia="en-AU"/>
              </w:rPr>
            </w:pPr>
          </w:p>
        </w:tc>
        <w:tc>
          <w:tcPr>
            <w:tcW w:w="3686" w:type="dxa"/>
            <w:shd w:val="clear" w:color="auto" w:fill="auto"/>
            <w:noWrap/>
            <w:vAlign w:val="bottom"/>
          </w:tcPr>
          <w:p w:rsidR="004E7F55" w:rsidRPr="00282E52" w:rsidRDefault="004E7F55" w:rsidP="001934EC">
            <w:pPr>
              <w:spacing w:after="0" w:line="240" w:lineRule="auto"/>
              <w:rPr>
                <w:rFonts w:eastAsia="Times New Roman"/>
                <w:color w:val="000000"/>
                <w:lang w:eastAsia="en-AU"/>
              </w:rPr>
            </w:pPr>
          </w:p>
        </w:tc>
      </w:tr>
      <w:tr w:rsidR="004E7F55" w:rsidRPr="00C328B4" w:rsidTr="001934EC">
        <w:trPr>
          <w:trHeight w:val="300"/>
        </w:trPr>
        <w:tc>
          <w:tcPr>
            <w:tcW w:w="2422" w:type="dxa"/>
            <w:shd w:val="clear" w:color="auto" w:fill="auto"/>
            <w:noWrap/>
            <w:vAlign w:val="bottom"/>
          </w:tcPr>
          <w:p w:rsidR="004E7F55" w:rsidRPr="00282E52" w:rsidRDefault="004E7F55" w:rsidP="001934EC">
            <w:pPr>
              <w:spacing w:after="0" w:line="240" w:lineRule="auto"/>
              <w:rPr>
                <w:rFonts w:eastAsia="Times New Roman"/>
                <w:color w:val="000000"/>
                <w:lang w:eastAsia="en-AU"/>
              </w:rPr>
            </w:pPr>
          </w:p>
        </w:tc>
        <w:tc>
          <w:tcPr>
            <w:tcW w:w="3686" w:type="dxa"/>
            <w:shd w:val="clear" w:color="auto" w:fill="auto"/>
            <w:noWrap/>
            <w:vAlign w:val="bottom"/>
          </w:tcPr>
          <w:p w:rsidR="004E7F55" w:rsidRPr="00282E52" w:rsidRDefault="004E7F55" w:rsidP="001934EC">
            <w:pPr>
              <w:spacing w:after="0" w:line="240" w:lineRule="auto"/>
              <w:rPr>
                <w:rFonts w:eastAsia="Times New Roman"/>
                <w:color w:val="000000"/>
                <w:lang w:eastAsia="en-AU"/>
              </w:rPr>
            </w:pPr>
          </w:p>
        </w:tc>
      </w:tr>
    </w:tbl>
    <w:p w:rsidR="001934EC" w:rsidRDefault="001934EC" w:rsidP="00B33ECD"/>
    <w:p w:rsidR="008068C0" w:rsidRPr="008068C0" w:rsidRDefault="008068C0" w:rsidP="008068C0">
      <w:pPr>
        <w:rPr>
          <w:b/>
        </w:rPr>
      </w:pPr>
      <w:r w:rsidRPr="008068C0">
        <w:rPr>
          <w:b/>
        </w:rPr>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8068C0" w:rsidRPr="00C328B4" w:rsidTr="008068C0">
        <w:trPr>
          <w:trHeight w:val="300"/>
        </w:trPr>
        <w:tc>
          <w:tcPr>
            <w:tcW w:w="2422" w:type="dxa"/>
            <w:shd w:val="clear" w:color="auto" w:fill="auto"/>
            <w:noWrap/>
            <w:vAlign w:val="bottom"/>
            <w:hideMark/>
          </w:tcPr>
          <w:p w:rsidR="008068C0" w:rsidRPr="00C328B4" w:rsidRDefault="008068C0" w:rsidP="00BD5AAA">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8068C0" w:rsidRPr="00C328B4" w:rsidRDefault="008068C0" w:rsidP="00BD5AAA">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4E7F55" w:rsidRPr="00C328B4" w:rsidTr="008068C0">
        <w:trPr>
          <w:trHeight w:val="300"/>
        </w:trPr>
        <w:tc>
          <w:tcPr>
            <w:tcW w:w="2422"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Andrew Kingsmill</w:t>
            </w:r>
          </w:p>
        </w:tc>
        <w:tc>
          <w:tcPr>
            <w:tcW w:w="3686" w:type="dxa"/>
            <w:shd w:val="clear" w:color="auto" w:fill="auto"/>
            <w:noWrap/>
            <w:vAlign w:val="bottom"/>
            <w:hideMark/>
          </w:tcPr>
          <w:p w:rsidR="004E7F55" w:rsidRPr="00282E52" w:rsidRDefault="004E7F55" w:rsidP="00BF0B07">
            <w:pPr>
              <w:spacing w:after="0" w:line="240" w:lineRule="auto"/>
              <w:rPr>
                <w:rFonts w:eastAsia="Times New Roman"/>
                <w:color w:val="000000"/>
                <w:lang w:eastAsia="en-AU"/>
              </w:rPr>
            </w:pPr>
            <w:r>
              <w:rPr>
                <w:rFonts w:eastAsia="Times New Roman"/>
                <w:color w:val="000000"/>
                <w:lang w:eastAsia="en-AU"/>
              </w:rPr>
              <w:t>Trans</w:t>
            </w:r>
            <w:r w:rsidR="00BF0B07">
              <w:rPr>
                <w:rFonts w:eastAsia="Times New Roman"/>
                <w:color w:val="000000"/>
                <w:lang w:eastAsia="en-AU"/>
              </w:rPr>
              <w:t>G</w:t>
            </w:r>
            <w:r>
              <w:rPr>
                <w:rFonts w:eastAsia="Times New Roman"/>
                <w:color w:val="000000"/>
                <w:lang w:eastAsia="en-AU"/>
              </w:rPr>
              <w:t>rid</w:t>
            </w:r>
          </w:p>
        </w:tc>
      </w:tr>
      <w:tr w:rsidR="004E7F55" w:rsidRPr="00C328B4" w:rsidTr="008068C0">
        <w:trPr>
          <w:trHeight w:val="300"/>
        </w:trPr>
        <w:tc>
          <w:tcPr>
            <w:tcW w:w="2422"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Lawrence Irlam</w:t>
            </w:r>
          </w:p>
        </w:tc>
        <w:tc>
          <w:tcPr>
            <w:tcW w:w="3686"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8068C0">
        <w:trPr>
          <w:trHeight w:val="300"/>
        </w:trPr>
        <w:tc>
          <w:tcPr>
            <w:tcW w:w="2422"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Matt Le Cornu</w:t>
            </w:r>
          </w:p>
        </w:tc>
        <w:tc>
          <w:tcPr>
            <w:tcW w:w="3686"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r>
              <w:rPr>
                <w:rFonts w:eastAsia="Times New Roman"/>
                <w:color w:val="000000"/>
                <w:lang w:eastAsia="en-AU"/>
              </w:rPr>
              <w:t>AER</w:t>
            </w:r>
          </w:p>
        </w:tc>
      </w:tr>
      <w:tr w:rsidR="004E7F55" w:rsidRPr="00C328B4" w:rsidTr="008068C0">
        <w:trPr>
          <w:trHeight w:val="300"/>
        </w:trPr>
        <w:tc>
          <w:tcPr>
            <w:tcW w:w="2422"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p>
        </w:tc>
        <w:tc>
          <w:tcPr>
            <w:tcW w:w="3686" w:type="dxa"/>
            <w:shd w:val="clear" w:color="auto" w:fill="auto"/>
            <w:noWrap/>
            <w:vAlign w:val="bottom"/>
            <w:hideMark/>
          </w:tcPr>
          <w:p w:rsidR="004E7F55" w:rsidRPr="00282E52" w:rsidRDefault="004E7F55" w:rsidP="00794A92">
            <w:pPr>
              <w:spacing w:after="0" w:line="240" w:lineRule="auto"/>
              <w:rPr>
                <w:rFonts w:eastAsia="Times New Roman"/>
                <w:color w:val="000000"/>
                <w:lang w:eastAsia="en-AU"/>
              </w:rPr>
            </w:pPr>
          </w:p>
        </w:tc>
      </w:tr>
      <w:tr w:rsidR="004E7F55" w:rsidRPr="00C328B4" w:rsidTr="008068C0">
        <w:trPr>
          <w:trHeight w:val="300"/>
        </w:trPr>
        <w:tc>
          <w:tcPr>
            <w:tcW w:w="2422" w:type="dxa"/>
            <w:shd w:val="clear" w:color="auto" w:fill="auto"/>
            <w:noWrap/>
            <w:vAlign w:val="bottom"/>
            <w:hideMark/>
          </w:tcPr>
          <w:p w:rsidR="004E7F55" w:rsidRPr="00282E52" w:rsidRDefault="004E7F55" w:rsidP="00BD5AAA">
            <w:pPr>
              <w:spacing w:after="0" w:line="240" w:lineRule="auto"/>
              <w:rPr>
                <w:rFonts w:eastAsia="Times New Roman"/>
                <w:color w:val="000000"/>
                <w:lang w:eastAsia="en-AU"/>
              </w:rPr>
            </w:pPr>
          </w:p>
        </w:tc>
        <w:tc>
          <w:tcPr>
            <w:tcW w:w="3686" w:type="dxa"/>
            <w:shd w:val="clear" w:color="auto" w:fill="auto"/>
            <w:noWrap/>
            <w:vAlign w:val="bottom"/>
            <w:hideMark/>
          </w:tcPr>
          <w:p w:rsidR="004E7F55" w:rsidRPr="00282E52" w:rsidRDefault="004E7F55" w:rsidP="00BD5AAA">
            <w:pPr>
              <w:spacing w:after="0" w:line="240" w:lineRule="auto"/>
              <w:rPr>
                <w:rFonts w:eastAsia="Times New Roman"/>
                <w:color w:val="000000"/>
                <w:lang w:eastAsia="en-AU"/>
              </w:rPr>
            </w:pPr>
          </w:p>
        </w:tc>
      </w:tr>
      <w:tr w:rsidR="004E7F55" w:rsidRPr="00C328B4" w:rsidTr="008068C0">
        <w:trPr>
          <w:trHeight w:val="300"/>
        </w:trPr>
        <w:tc>
          <w:tcPr>
            <w:tcW w:w="2422"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c>
          <w:tcPr>
            <w:tcW w:w="3686"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r>
      <w:tr w:rsidR="004E7F55" w:rsidRPr="00C328B4" w:rsidTr="008068C0">
        <w:trPr>
          <w:trHeight w:val="300"/>
        </w:trPr>
        <w:tc>
          <w:tcPr>
            <w:tcW w:w="2422"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c>
          <w:tcPr>
            <w:tcW w:w="3686"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r>
      <w:tr w:rsidR="004E7F55" w:rsidRPr="00C328B4" w:rsidTr="008068C0">
        <w:trPr>
          <w:trHeight w:val="300"/>
        </w:trPr>
        <w:tc>
          <w:tcPr>
            <w:tcW w:w="2422" w:type="dxa"/>
            <w:shd w:val="clear" w:color="auto" w:fill="auto"/>
            <w:noWrap/>
            <w:vAlign w:val="bottom"/>
            <w:hideMark/>
          </w:tcPr>
          <w:p w:rsidR="004E7F55" w:rsidRPr="00282E52" w:rsidRDefault="004E7F55" w:rsidP="00BD5AAA">
            <w:pPr>
              <w:spacing w:after="0" w:line="240" w:lineRule="auto"/>
              <w:rPr>
                <w:rFonts w:eastAsia="Times New Roman"/>
                <w:color w:val="000000"/>
                <w:lang w:eastAsia="en-AU"/>
              </w:rPr>
            </w:pPr>
          </w:p>
        </w:tc>
        <w:tc>
          <w:tcPr>
            <w:tcW w:w="3686" w:type="dxa"/>
            <w:shd w:val="clear" w:color="auto" w:fill="auto"/>
            <w:noWrap/>
            <w:vAlign w:val="bottom"/>
            <w:hideMark/>
          </w:tcPr>
          <w:p w:rsidR="004E7F55" w:rsidRPr="00282E52" w:rsidRDefault="004E7F55" w:rsidP="00BD5AAA">
            <w:pPr>
              <w:spacing w:after="0" w:line="240" w:lineRule="auto"/>
              <w:rPr>
                <w:rFonts w:eastAsia="Times New Roman"/>
                <w:color w:val="000000"/>
                <w:lang w:eastAsia="en-AU"/>
              </w:rPr>
            </w:pPr>
          </w:p>
        </w:tc>
      </w:tr>
      <w:tr w:rsidR="004E7F55" w:rsidRPr="00C328B4" w:rsidTr="008068C0">
        <w:trPr>
          <w:trHeight w:val="300"/>
        </w:trPr>
        <w:tc>
          <w:tcPr>
            <w:tcW w:w="2422"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c>
          <w:tcPr>
            <w:tcW w:w="3686" w:type="dxa"/>
            <w:shd w:val="clear" w:color="auto" w:fill="auto"/>
            <w:noWrap/>
            <w:vAlign w:val="bottom"/>
            <w:hideMark/>
          </w:tcPr>
          <w:p w:rsidR="004E7F55" w:rsidRDefault="004E7F55" w:rsidP="00BD5AAA">
            <w:pPr>
              <w:spacing w:after="0" w:line="240" w:lineRule="auto"/>
              <w:rPr>
                <w:rFonts w:eastAsia="Times New Roman"/>
                <w:color w:val="000000"/>
                <w:lang w:eastAsia="en-AU"/>
              </w:rPr>
            </w:pPr>
          </w:p>
        </w:tc>
      </w:tr>
    </w:tbl>
    <w:p w:rsidR="008068C0" w:rsidRDefault="008068C0" w:rsidP="00B33ECD"/>
    <w:sectPr w:rsidR="008068C0"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C0" w:rsidRDefault="008A66C0" w:rsidP="00157A96">
      <w:pPr>
        <w:spacing w:after="0" w:line="240" w:lineRule="auto"/>
      </w:pPr>
      <w:r>
        <w:separator/>
      </w:r>
    </w:p>
  </w:endnote>
  <w:endnote w:type="continuationSeparator" w:id="0">
    <w:p w:rsidR="008A66C0" w:rsidRDefault="008A66C0" w:rsidP="0015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C0" w:rsidRDefault="00B177F4">
    <w:pPr>
      <w:pStyle w:val="Footer"/>
      <w:jc w:val="right"/>
    </w:pPr>
    <w:fldSimple w:instr=" PAGE   \* MERGEFORMAT ">
      <w:r w:rsidR="00BE33BC">
        <w:rPr>
          <w:noProof/>
        </w:rPr>
        <w:t>1</w:t>
      </w:r>
    </w:fldSimple>
  </w:p>
  <w:p w:rsidR="008A66C0" w:rsidRDefault="008A6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C0" w:rsidRDefault="008A66C0" w:rsidP="00157A96">
      <w:pPr>
        <w:spacing w:after="0" w:line="240" w:lineRule="auto"/>
      </w:pPr>
      <w:r>
        <w:separator/>
      </w:r>
    </w:p>
  </w:footnote>
  <w:footnote w:type="continuationSeparator" w:id="0">
    <w:p w:rsidR="008A66C0" w:rsidRDefault="008A66C0" w:rsidP="00157A96">
      <w:pPr>
        <w:spacing w:after="0" w:line="240" w:lineRule="auto"/>
      </w:pPr>
      <w:r>
        <w:continuationSeparator/>
      </w:r>
    </w:p>
  </w:footnote>
  <w:footnote w:id="1">
    <w:p w:rsidR="008A66C0" w:rsidRDefault="008A66C0">
      <w:pPr>
        <w:pStyle w:val="FootnoteText"/>
      </w:pPr>
      <w:r>
        <w:rPr>
          <w:rStyle w:val="FootnoteReference"/>
        </w:rPr>
        <w:footnoteRef/>
      </w:r>
      <w:r>
        <w:t xml:space="preserve"> The AER’s 28 February 2013 workshop explored higher level issues such as definitions, drivers and measures, and challenges in assessing </w:t>
      </w:r>
      <w:proofErr w:type="spellStart"/>
      <w:r>
        <w:t>repex</w:t>
      </w:r>
      <w:proofErr w:type="spellEnd"/>
      <w:r>
        <w:t xml:space="preserve"> and </w:t>
      </w:r>
      <w:proofErr w:type="spellStart"/>
      <w:r>
        <w:t>augex</w:t>
      </w:r>
      <w:proofErr w:type="spellEnd"/>
      <w:r>
        <w:t xml:space="preserve"> (for transmission and distribution).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ADB"/>
    <w:multiLevelType w:val="hybridMultilevel"/>
    <w:tmpl w:val="DD0C9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3A0AEC"/>
    <w:multiLevelType w:val="hybridMultilevel"/>
    <w:tmpl w:val="6BD2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5575B"/>
    <w:multiLevelType w:val="hybridMultilevel"/>
    <w:tmpl w:val="2BEA19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888\D13 31186[V2]  AER - expenditure workshop no. 3 meeting summary - TNSP replacement and augmentation capex - 7 March 2013.DOCX"/>
  </w:docVars>
  <w:rsids>
    <w:rsidRoot w:val="0079222A"/>
    <w:rsid w:val="00000A86"/>
    <w:rsid w:val="00000C2E"/>
    <w:rsid w:val="00001A9F"/>
    <w:rsid w:val="000031AC"/>
    <w:rsid w:val="000052B9"/>
    <w:rsid w:val="000074AD"/>
    <w:rsid w:val="00007565"/>
    <w:rsid w:val="000132E3"/>
    <w:rsid w:val="000177E3"/>
    <w:rsid w:val="000216FB"/>
    <w:rsid w:val="00021B1F"/>
    <w:rsid w:val="00021CD8"/>
    <w:rsid w:val="000238C6"/>
    <w:rsid w:val="00024B73"/>
    <w:rsid w:val="0002542A"/>
    <w:rsid w:val="000266C3"/>
    <w:rsid w:val="00030576"/>
    <w:rsid w:val="000325C4"/>
    <w:rsid w:val="000379FE"/>
    <w:rsid w:val="00037A6E"/>
    <w:rsid w:val="00042A9D"/>
    <w:rsid w:val="000446DE"/>
    <w:rsid w:val="00050C26"/>
    <w:rsid w:val="00051DC6"/>
    <w:rsid w:val="0005231A"/>
    <w:rsid w:val="0005328B"/>
    <w:rsid w:val="00053367"/>
    <w:rsid w:val="00053AC2"/>
    <w:rsid w:val="00054ECC"/>
    <w:rsid w:val="0006106A"/>
    <w:rsid w:val="00061C00"/>
    <w:rsid w:val="000632C4"/>
    <w:rsid w:val="0006518D"/>
    <w:rsid w:val="000672CB"/>
    <w:rsid w:val="000673FA"/>
    <w:rsid w:val="00070571"/>
    <w:rsid w:val="00075CBE"/>
    <w:rsid w:val="000770D5"/>
    <w:rsid w:val="00077807"/>
    <w:rsid w:val="00077DA4"/>
    <w:rsid w:val="00081553"/>
    <w:rsid w:val="00082756"/>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93"/>
    <w:rsid w:val="000A6FD4"/>
    <w:rsid w:val="000B5666"/>
    <w:rsid w:val="000B6836"/>
    <w:rsid w:val="000C0ABB"/>
    <w:rsid w:val="000C1318"/>
    <w:rsid w:val="000C1AD5"/>
    <w:rsid w:val="000C30B4"/>
    <w:rsid w:val="000C321B"/>
    <w:rsid w:val="000C53F8"/>
    <w:rsid w:val="000C54F5"/>
    <w:rsid w:val="000C7070"/>
    <w:rsid w:val="000C7E48"/>
    <w:rsid w:val="000D2082"/>
    <w:rsid w:val="000D208D"/>
    <w:rsid w:val="000D49DF"/>
    <w:rsid w:val="000E0A8A"/>
    <w:rsid w:val="000E3B3C"/>
    <w:rsid w:val="000E4757"/>
    <w:rsid w:val="000E5A12"/>
    <w:rsid w:val="000E5A28"/>
    <w:rsid w:val="000E5EBA"/>
    <w:rsid w:val="000E6E79"/>
    <w:rsid w:val="000F0149"/>
    <w:rsid w:val="000F15FA"/>
    <w:rsid w:val="000F3A83"/>
    <w:rsid w:val="000F5621"/>
    <w:rsid w:val="000F5C6D"/>
    <w:rsid w:val="000F5F72"/>
    <w:rsid w:val="000F7D30"/>
    <w:rsid w:val="001011A7"/>
    <w:rsid w:val="00101AEC"/>
    <w:rsid w:val="00103CC4"/>
    <w:rsid w:val="0010509C"/>
    <w:rsid w:val="00105F97"/>
    <w:rsid w:val="00110C9F"/>
    <w:rsid w:val="00111042"/>
    <w:rsid w:val="00112A1F"/>
    <w:rsid w:val="00112B1A"/>
    <w:rsid w:val="00113B11"/>
    <w:rsid w:val="00113FD6"/>
    <w:rsid w:val="001140DA"/>
    <w:rsid w:val="00115B0C"/>
    <w:rsid w:val="001171E5"/>
    <w:rsid w:val="00120699"/>
    <w:rsid w:val="001236C8"/>
    <w:rsid w:val="0012425B"/>
    <w:rsid w:val="0012670A"/>
    <w:rsid w:val="001279DD"/>
    <w:rsid w:val="0013030B"/>
    <w:rsid w:val="00130704"/>
    <w:rsid w:val="00130E52"/>
    <w:rsid w:val="001321A5"/>
    <w:rsid w:val="001325A7"/>
    <w:rsid w:val="0013270C"/>
    <w:rsid w:val="00132F06"/>
    <w:rsid w:val="001339EC"/>
    <w:rsid w:val="00136173"/>
    <w:rsid w:val="001400AD"/>
    <w:rsid w:val="00141D02"/>
    <w:rsid w:val="00142487"/>
    <w:rsid w:val="00143859"/>
    <w:rsid w:val="001444EF"/>
    <w:rsid w:val="0014516B"/>
    <w:rsid w:val="00150BC9"/>
    <w:rsid w:val="00152401"/>
    <w:rsid w:val="0015473B"/>
    <w:rsid w:val="00155FEE"/>
    <w:rsid w:val="00156726"/>
    <w:rsid w:val="00156BC5"/>
    <w:rsid w:val="001579F7"/>
    <w:rsid w:val="00157A96"/>
    <w:rsid w:val="00160DF6"/>
    <w:rsid w:val="001616AB"/>
    <w:rsid w:val="00162D40"/>
    <w:rsid w:val="00163346"/>
    <w:rsid w:val="00163389"/>
    <w:rsid w:val="00164484"/>
    <w:rsid w:val="00164557"/>
    <w:rsid w:val="00164B3C"/>
    <w:rsid w:val="0016564C"/>
    <w:rsid w:val="0016692E"/>
    <w:rsid w:val="0017050B"/>
    <w:rsid w:val="00171420"/>
    <w:rsid w:val="001722C4"/>
    <w:rsid w:val="00172F87"/>
    <w:rsid w:val="001749EA"/>
    <w:rsid w:val="0017578F"/>
    <w:rsid w:val="00180DBA"/>
    <w:rsid w:val="00181B36"/>
    <w:rsid w:val="001826D0"/>
    <w:rsid w:val="00183510"/>
    <w:rsid w:val="001840BE"/>
    <w:rsid w:val="00184A07"/>
    <w:rsid w:val="00190D3B"/>
    <w:rsid w:val="001930C7"/>
    <w:rsid w:val="001934EC"/>
    <w:rsid w:val="00193CF0"/>
    <w:rsid w:val="00194EC7"/>
    <w:rsid w:val="001A0E5F"/>
    <w:rsid w:val="001A1F3F"/>
    <w:rsid w:val="001A2ACA"/>
    <w:rsid w:val="001A561B"/>
    <w:rsid w:val="001A654E"/>
    <w:rsid w:val="001A7685"/>
    <w:rsid w:val="001A78F8"/>
    <w:rsid w:val="001B1C0C"/>
    <w:rsid w:val="001B360C"/>
    <w:rsid w:val="001B3699"/>
    <w:rsid w:val="001B3D8B"/>
    <w:rsid w:val="001B4CCA"/>
    <w:rsid w:val="001B5027"/>
    <w:rsid w:val="001B5DEF"/>
    <w:rsid w:val="001B76B2"/>
    <w:rsid w:val="001C0001"/>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3A4C"/>
    <w:rsid w:val="00204E11"/>
    <w:rsid w:val="00206C91"/>
    <w:rsid w:val="002074C6"/>
    <w:rsid w:val="002119DE"/>
    <w:rsid w:val="00211D4A"/>
    <w:rsid w:val="002124F8"/>
    <w:rsid w:val="002126E4"/>
    <w:rsid w:val="002164E6"/>
    <w:rsid w:val="0021688C"/>
    <w:rsid w:val="00217B15"/>
    <w:rsid w:val="00220DFF"/>
    <w:rsid w:val="0022388D"/>
    <w:rsid w:val="00223DD7"/>
    <w:rsid w:val="0022573A"/>
    <w:rsid w:val="0022576F"/>
    <w:rsid w:val="002258BE"/>
    <w:rsid w:val="002259F3"/>
    <w:rsid w:val="00227FF6"/>
    <w:rsid w:val="0023044B"/>
    <w:rsid w:val="00230F7C"/>
    <w:rsid w:val="00231DF6"/>
    <w:rsid w:val="00233A4D"/>
    <w:rsid w:val="00234986"/>
    <w:rsid w:val="00234E89"/>
    <w:rsid w:val="0024000C"/>
    <w:rsid w:val="002413F2"/>
    <w:rsid w:val="00244E76"/>
    <w:rsid w:val="002451F0"/>
    <w:rsid w:val="00245AE7"/>
    <w:rsid w:val="002505F1"/>
    <w:rsid w:val="00250787"/>
    <w:rsid w:val="002542CB"/>
    <w:rsid w:val="00255BDD"/>
    <w:rsid w:val="00256E48"/>
    <w:rsid w:val="002602EA"/>
    <w:rsid w:val="002625B0"/>
    <w:rsid w:val="00263EEA"/>
    <w:rsid w:val="0026452D"/>
    <w:rsid w:val="002650CC"/>
    <w:rsid w:val="0026791E"/>
    <w:rsid w:val="00267C1F"/>
    <w:rsid w:val="00271031"/>
    <w:rsid w:val="00272B01"/>
    <w:rsid w:val="00274077"/>
    <w:rsid w:val="00281F47"/>
    <w:rsid w:val="0028292B"/>
    <w:rsid w:val="00282CA0"/>
    <w:rsid w:val="002839F0"/>
    <w:rsid w:val="00283EDE"/>
    <w:rsid w:val="00286521"/>
    <w:rsid w:val="00286F35"/>
    <w:rsid w:val="00287DA8"/>
    <w:rsid w:val="00290046"/>
    <w:rsid w:val="00293A7B"/>
    <w:rsid w:val="002948FB"/>
    <w:rsid w:val="002A24E3"/>
    <w:rsid w:val="002A4BAB"/>
    <w:rsid w:val="002B1FE8"/>
    <w:rsid w:val="002B265B"/>
    <w:rsid w:val="002B297A"/>
    <w:rsid w:val="002B396E"/>
    <w:rsid w:val="002B7D5A"/>
    <w:rsid w:val="002B7D88"/>
    <w:rsid w:val="002C0580"/>
    <w:rsid w:val="002C3E22"/>
    <w:rsid w:val="002C5319"/>
    <w:rsid w:val="002C5D03"/>
    <w:rsid w:val="002D06A4"/>
    <w:rsid w:val="002D168F"/>
    <w:rsid w:val="002D31E1"/>
    <w:rsid w:val="002D5D9A"/>
    <w:rsid w:val="002E31A5"/>
    <w:rsid w:val="002E5FA1"/>
    <w:rsid w:val="002E7CC7"/>
    <w:rsid w:val="002F1CE4"/>
    <w:rsid w:val="002F35B0"/>
    <w:rsid w:val="002F35CE"/>
    <w:rsid w:val="002F44BF"/>
    <w:rsid w:val="002F4C54"/>
    <w:rsid w:val="002F7E24"/>
    <w:rsid w:val="0030009E"/>
    <w:rsid w:val="003033BA"/>
    <w:rsid w:val="00304B6A"/>
    <w:rsid w:val="003068F7"/>
    <w:rsid w:val="003114BC"/>
    <w:rsid w:val="00311F17"/>
    <w:rsid w:val="00312191"/>
    <w:rsid w:val="003135D5"/>
    <w:rsid w:val="00314AAB"/>
    <w:rsid w:val="0031537E"/>
    <w:rsid w:val="00316AF9"/>
    <w:rsid w:val="00317E3B"/>
    <w:rsid w:val="00320916"/>
    <w:rsid w:val="003217FE"/>
    <w:rsid w:val="00323AC0"/>
    <w:rsid w:val="00323C1D"/>
    <w:rsid w:val="00324E67"/>
    <w:rsid w:val="00325E7D"/>
    <w:rsid w:val="00326B2D"/>
    <w:rsid w:val="00331F7B"/>
    <w:rsid w:val="00332370"/>
    <w:rsid w:val="00335CFE"/>
    <w:rsid w:val="00335DD6"/>
    <w:rsid w:val="00337FBF"/>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2629"/>
    <w:rsid w:val="00364DDC"/>
    <w:rsid w:val="00365330"/>
    <w:rsid w:val="00365E8D"/>
    <w:rsid w:val="003660A0"/>
    <w:rsid w:val="00366A6E"/>
    <w:rsid w:val="00366AEE"/>
    <w:rsid w:val="00370B30"/>
    <w:rsid w:val="00371C00"/>
    <w:rsid w:val="00373400"/>
    <w:rsid w:val="003747E7"/>
    <w:rsid w:val="00375901"/>
    <w:rsid w:val="003805FA"/>
    <w:rsid w:val="0038283F"/>
    <w:rsid w:val="00392021"/>
    <w:rsid w:val="0039255B"/>
    <w:rsid w:val="003937DB"/>
    <w:rsid w:val="003943E4"/>
    <w:rsid w:val="0039475E"/>
    <w:rsid w:val="00395DBE"/>
    <w:rsid w:val="00396350"/>
    <w:rsid w:val="00396C3A"/>
    <w:rsid w:val="00397508"/>
    <w:rsid w:val="00397A8E"/>
    <w:rsid w:val="003A18DE"/>
    <w:rsid w:val="003A301B"/>
    <w:rsid w:val="003A455A"/>
    <w:rsid w:val="003A6A6B"/>
    <w:rsid w:val="003B2D3A"/>
    <w:rsid w:val="003B7E5E"/>
    <w:rsid w:val="003C2E31"/>
    <w:rsid w:val="003C466E"/>
    <w:rsid w:val="003C4A68"/>
    <w:rsid w:val="003C5F89"/>
    <w:rsid w:val="003C76F2"/>
    <w:rsid w:val="003D1F0D"/>
    <w:rsid w:val="003D249E"/>
    <w:rsid w:val="003D7372"/>
    <w:rsid w:val="003D7B82"/>
    <w:rsid w:val="003E18A4"/>
    <w:rsid w:val="003E1BA9"/>
    <w:rsid w:val="003E1D3C"/>
    <w:rsid w:val="003E4F2B"/>
    <w:rsid w:val="003E52FA"/>
    <w:rsid w:val="003E6037"/>
    <w:rsid w:val="003E6799"/>
    <w:rsid w:val="003E7081"/>
    <w:rsid w:val="003F06C2"/>
    <w:rsid w:val="003F09A4"/>
    <w:rsid w:val="003F5B30"/>
    <w:rsid w:val="003F6A27"/>
    <w:rsid w:val="00403604"/>
    <w:rsid w:val="00403D42"/>
    <w:rsid w:val="00404105"/>
    <w:rsid w:val="0040677B"/>
    <w:rsid w:val="00410D5A"/>
    <w:rsid w:val="00411427"/>
    <w:rsid w:val="00413060"/>
    <w:rsid w:val="0041311D"/>
    <w:rsid w:val="00415BBC"/>
    <w:rsid w:val="004162B4"/>
    <w:rsid w:val="00421924"/>
    <w:rsid w:val="00421CAA"/>
    <w:rsid w:val="00423224"/>
    <w:rsid w:val="0042571B"/>
    <w:rsid w:val="00425F62"/>
    <w:rsid w:val="00426112"/>
    <w:rsid w:val="004264BB"/>
    <w:rsid w:val="00426E15"/>
    <w:rsid w:val="004302B2"/>
    <w:rsid w:val="00431663"/>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570C6"/>
    <w:rsid w:val="0046257F"/>
    <w:rsid w:val="00462E00"/>
    <w:rsid w:val="00464EAD"/>
    <w:rsid w:val="00465022"/>
    <w:rsid w:val="00465050"/>
    <w:rsid w:val="004652C2"/>
    <w:rsid w:val="00465380"/>
    <w:rsid w:val="004653BC"/>
    <w:rsid w:val="00465C99"/>
    <w:rsid w:val="0046763A"/>
    <w:rsid w:val="0047028E"/>
    <w:rsid w:val="004749E0"/>
    <w:rsid w:val="004752FF"/>
    <w:rsid w:val="00476E07"/>
    <w:rsid w:val="00481F91"/>
    <w:rsid w:val="004841BA"/>
    <w:rsid w:val="004857D1"/>
    <w:rsid w:val="00487F0D"/>
    <w:rsid w:val="004911D6"/>
    <w:rsid w:val="004913A9"/>
    <w:rsid w:val="0049176E"/>
    <w:rsid w:val="00491C73"/>
    <w:rsid w:val="004922E8"/>
    <w:rsid w:val="00492E31"/>
    <w:rsid w:val="004A259B"/>
    <w:rsid w:val="004A3273"/>
    <w:rsid w:val="004A3658"/>
    <w:rsid w:val="004A5DB4"/>
    <w:rsid w:val="004B1D67"/>
    <w:rsid w:val="004B2F99"/>
    <w:rsid w:val="004B2FE2"/>
    <w:rsid w:val="004B492F"/>
    <w:rsid w:val="004B5057"/>
    <w:rsid w:val="004B5DDF"/>
    <w:rsid w:val="004B5FA4"/>
    <w:rsid w:val="004B695B"/>
    <w:rsid w:val="004B6D28"/>
    <w:rsid w:val="004B6F61"/>
    <w:rsid w:val="004B763C"/>
    <w:rsid w:val="004C0786"/>
    <w:rsid w:val="004C0DD4"/>
    <w:rsid w:val="004C1C28"/>
    <w:rsid w:val="004C2EE3"/>
    <w:rsid w:val="004C43C2"/>
    <w:rsid w:val="004C4416"/>
    <w:rsid w:val="004C52F0"/>
    <w:rsid w:val="004C61E3"/>
    <w:rsid w:val="004C67A1"/>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E7F55"/>
    <w:rsid w:val="004F0934"/>
    <w:rsid w:val="004F1061"/>
    <w:rsid w:val="004F276B"/>
    <w:rsid w:val="004F319E"/>
    <w:rsid w:val="004F44AE"/>
    <w:rsid w:val="004F4F8A"/>
    <w:rsid w:val="004F6F14"/>
    <w:rsid w:val="004F7F8D"/>
    <w:rsid w:val="00500409"/>
    <w:rsid w:val="00501320"/>
    <w:rsid w:val="00502EC9"/>
    <w:rsid w:val="00503EB1"/>
    <w:rsid w:val="00505A2C"/>
    <w:rsid w:val="005066D6"/>
    <w:rsid w:val="00507909"/>
    <w:rsid w:val="00507CAF"/>
    <w:rsid w:val="00511679"/>
    <w:rsid w:val="00511781"/>
    <w:rsid w:val="00512C41"/>
    <w:rsid w:val="00512C75"/>
    <w:rsid w:val="00513E03"/>
    <w:rsid w:val="0051401B"/>
    <w:rsid w:val="00514B50"/>
    <w:rsid w:val="005151CF"/>
    <w:rsid w:val="005153B3"/>
    <w:rsid w:val="0051556A"/>
    <w:rsid w:val="00515B64"/>
    <w:rsid w:val="005271EF"/>
    <w:rsid w:val="00530B63"/>
    <w:rsid w:val="00530FD8"/>
    <w:rsid w:val="00531E4C"/>
    <w:rsid w:val="00533CFC"/>
    <w:rsid w:val="00534F24"/>
    <w:rsid w:val="005355BA"/>
    <w:rsid w:val="00535ABE"/>
    <w:rsid w:val="00535F48"/>
    <w:rsid w:val="00536FBB"/>
    <w:rsid w:val="00540886"/>
    <w:rsid w:val="0054263F"/>
    <w:rsid w:val="00546E61"/>
    <w:rsid w:val="00547042"/>
    <w:rsid w:val="00553CA4"/>
    <w:rsid w:val="005542FF"/>
    <w:rsid w:val="00561B2A"/>
    <w:rsid w:val="005622A0"/>
    <w:rsid w:val="0056355B"/>
    <w:rsid w:val="005637E1"/>
    <w:rsid w:val="0056389F"/>
    <w:rsid w:val="00565C2F"/>
    <w:rsid w:val="00567D02"/>
    <w:rsid w:val="005710D8"/>
    <w:rsid w:val="005727AE"/>
    <w:rsid w:val="00574BDC"/>
    <w:rsid w:val="00576C14"/>
    <w:rsid w:val="00577175"/>
    <w:rsid w:val="005779CE"/>
    <w:rsid w:val="00580646"/>
    <w:rsid w:val="00580D28"/>
    <w:rsid w:val="005832A3"/>
    <w:rsid w:val="0058359A"/>
    <w:rsid w:val="00583D3E"/>
    <w:rsid w:val="00584A34"/>
    <w:rsid w:val="00587888"/>
    <w:rsid w:val="0059044D"/>
    <w:rsid w:val="00591FFF"/>
    <w:rsid w:val="005931F7"/>
    <w:rsid w:val="00595326"/>
    <w:rsid w:val="00596F41"/>
    <w:rsid w:val="0059775D"/>
    <w:rsid w:val="005A1482"/>
    <w:rsid w:val="005A1D99"/>
    <w:rsid w:val="005A509B"/>
    <w:rsid w:val="005A61B1"/>
    <w:rsid w:val="005A68FF"/>
    <w:rsid w:val="005A754A"/>
    <w:rsid w:val="005A7972"/>
    <w:rsid w:val="005B2C6F"/>
    <w:rsid w:val="005B30E6"/>
    <w:rsid w:val="005B51FC"/>
    <w:rsid w:val="005B586D"/>
    <w:rsid w:val="005B66BE"/>
    <w:rsid w:val="005B670F"/>
    <w:rsid w:val="005B7AFB"/>
    <w:rsid w:val="005C4EC2"/>
    <w:rsid w:val="005C52AA"/>
    <w:rsid w:val="005C6574"/>
    <w:rsid w:val="005C750D"/>
    <w:rsid w:val="005D1985"/>
    <w:rsid w:val="005D1A14"/>
    <w:rsid w:val="005D3B65"/>
    <w:rsid w:val="005D4F6F"/>
    <w:rsid w:val="005D63E5"/>
    <w:rsid w:val="005D643D"/>
    <w:rsid w:val="005D7573"/>
    <w:rsid w:val="005E00EA"/>
    <w:rsid w:val="005E11E4"/>
    <w:rsid w:val="005E61F8"/>
    <w:rsid w:val="005F12DA"/>
    <w:rsid w:val="005F1481"/>
    <w:rsid w:val="005F7969"/>
    <w:rsid w:val="0060022A"/>
    <w:rsid w:val="006029CF"/>
    <w:rsid w:val="00603D70"/>
    <w:rsid w:val="00603F56"/>
    <w:rsid w:val="0060482A"/>
    <w:rsid w:val="00610840"/>
    <w:rsid w:val="00611222"/>
    <w:rsid w:val="00611C77"/>
    <w:rsid w:val="006153ED"/>
    <w:rsid w:val="00615D49"/>
    <w:rsid w:val="006169CB"/>
    <w:rsid w:val="006173DD"/>
    <w:rsid w:val="00621F80"/>
    <w:rsid w:val="006242E5"/>
    <w:rsid w:val="006265C6"/>
    <w:rsid w:val="00630153"/>
    <w:rsid w:val="006322E9"/>
    <w:rsid w:val="00634A49"/>
    <w:rsid w:val="00635013"/>
    <w:rsid w:val="00635442"/>
    <w:rsid w:val="00635866"/>
    <w:rsid w:val="00637B0D"/>
    <w:rsid w:val="00637E51"/>
    <w:rsid w:val="00640C63"/>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624A"/>
    <w:rsid w:val="00676AFF"/>
    <w:rsid w:val="0067717F"/>
    <w:rsid w:val="0068082C"/>
    <w:rsid w:val="00681F5F"/>
    <w:rsid w:val="006826AA"/>
    <w:rsid w:val="0068328D"/>
    <w:rsid w:val="00683433"/>
    <w:rsid w:val="00690265"/>
    <w:rsid w:val="00690ACE"/>
    <w:rsid w:val="00691014"/>
    <w:rsid w:val="006922FF"/>
    <w:rsid w:val="00693E6F"/>
    <w:rsid w:val="00693F5C"/>
    <w:rsid w:val="00695EF9"/>
    <w:rsid w:val="00696AE6"/>
    <w:rsid w:val="00696F42"/>
    <w:rsid w:val="006979FE"/>
    <w:rsid w:val="006A2D5F"/>
    <w:rsid w:val="006A4915"/>
    <w:rsid w:val="006A5680"/>
    <w:rsid w:val="006B05E4"/>
    <w:rsid w:val="006B1E7A"/>
    <w:rsid w:val="006B34F1"/>
    <w:rsid w:val="006B3913"/>
    <w:rsid w:val="006B4BB9"/>
    <w:rsid w:val="006B6DFD"/>
    <w:rsid w:val="006B740A"/>
    <w:rsid w:val="006B7CA1"/>
    <w:rsid w:val="006C354F"/>
    <w:rsid w:val="006C437D"/>
    <w:rsid w:val="006C56D4"/>
    <w:rsid w:val="006C586F"/>
    <w:rsid w:val="006C725F"/>
    <w:rsid w:val="006C7D26"/>
    <w:rsid w:val="006C7F9B"/>
    <w:rsid w:val="006D3EC8"/>
    <w:rsid w:val="006D4C07"/>
    <w:rsid w:val="006D5538"/>
    <w:rsid w:val="006D67D7"/>
    <w:rsid w:val="006D6D82"/>
    <w:rsid w:val="006E0B37"/>
    <w:rsid w:val="006E187A"/>
    <w:rsid w:val="006E1F1F"/>
    <w:rsid w:val="006E2778"/>
    <w:rsid w:val="006E68D8"/>
    <w:rsid w:val="006E7BE7"/>
    <w:rsid w:val="006E7E5E"/>
    <w:rsid w:val="006F22F7"/>
    <w:rsid w:val="006F3971"/>
    <w:rsid w:val="006F6CC2"/>
    <w:rsid w:val="006F7142"/>
    <w:rsid w:val="00701215"/>
    <w:rsid w:val="00703DE8"/>
    <w:rsid w:val="00705602"/>
    <w:rsid w:val="007058B0"/>
    <w:rsid w:val="0070630B"/>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5899"/>
    <w:rsid w:val="0073011C"/>
    <w:rsid w:val="00730A46"/>
    <w:rsid w:val="0073334B"/>
    <w:rsid w:val="00734A34"/>
    <w:rsid w:val="0074019E"/>
    <w:rsid w:val="00740959"/>
    <w:rsid w:val="00743597"/>
    <w:rsid w:val="00744A96"/>
    <w:rsid w:val="00745D83"/>
    <w:rsid w:val="00747EBC"/>
    <w:rsid w:val="00751B64"/>
    <w:rsid w:val="007552D7"/>
    <w:rsid w:val="007560AB"/>
    <w:rsid w:val="00761ADE"/>
    <w:rsid w:val="00761E9A"/>
    <w:rsid w:val="00763D71"/>
    <w:rsid w:val="007663F7"/>
    <w:rsid w:val="007665DC"/>
    <w:rsid w:val="00767CD0"/>
    <w:rsid w:val="007720DA"/>
    <w:rsid w:val="00772528"/>
    <w:rsid w:val="00772F1C"/>
    <w:rsid w:val="007735BF"/>
    <w:rsid w:val="0077446B"/>
    <w:rsid w:val="00775E80"/>
    <w:rsid w:val="007763C2"/>
    <w:rsid w:val="00776434"/>
    <w:rsid w:val="007775D5"/>
    <w:rsid w:val="007801BA"/>
    <w:rsid w:val="00780660"/>
    <w:rsid w:val="00781273"/>
    <w:rsid w:val="00781561"/>
    <w:rsid w:val="00782EC4"/>
    <w:rsid w:val="007839AB"/>
    <w:rsid w:val="00785C25"/>
    <w:rsid w:val="00791824"/>
    <w:rsid w:val="0079222A"/>
    <w:rsid w:val="00792529"/>
    <w:rsid w:val="00793042"/>
    <w:rsid w:val="00793B23"/>
    <w:rsid w:val="00794708"/>
    <w:rsid w:val="0079485E"/>
    <w:rsid w:val="00794A92"/>
    <w:rsid w:val="00794B0E"/>
    <w:rsid w:val="007961AE"/>
    <w:rsid w:val="007A1F8F"/>
    <w:rsid w:val="007A20D2"/>
    <w:rsid w:val="007A4E43"/>
    <w:rsid w:val="007A5582"/>
    <w:rsid w:val="007A7DDA"/>
    <w:rsid w:val="007B0035"/>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E0A27"/>
    <w:rsid w:val="007E1540"/>
    <w:rsid w:val="007E3863"/>
    <w:rsid w:val="007E4D57"/>
    <w:rsid w:val="007E7051"/>
    <w:rsid w:val="007E7875"/>
    <w:rsid w:val="007F1BDF"/>
    <w:rsid w:val="007F226E"/>
    <w:rsid w:val="007F4FCA"/>
    <w:rsid w:val="007F57BB"/>
    <w:rsid w:val="007F5D57"/>
    <w:rsid w:val="007F7303"/>
    <w:rsid w:val="00805079"/>
    <w:rsid w:val="00805570"/>
    <w:rsid w:val="008068C0"/>
    <w:rsid w:val="00807498"/>
    <w:rsid w:val="00815722"/>
    <w:rsid w:val="0082423F"/>
    <w:rsid w:val="00825878"/>
    <w:rsid w:val="00825CF4"/>
    <w:rsid w:val="00826253"/>
    <w:rsid w:val="008276CE"/>
    <w:rsid w:val="008301A5"/>
    <w:rsid w:val="00830334"/>
    <w:rsid w:val="00831346"/>
    <w:rsid w:val="00831F7E"/>
    <w:rsid w:val="00832B89"/>
    <w:rsid w:val="00833B95"/>
    <w:rsid w:val="00835D64"/>
    <w:rsid w:val="00836172"/>
    <w:rsid w:val="0083618A"/>
    <w:rsid w:val="00836794"/>
    <w:rsid w:val="008372D8"/>
    <w:rsid w:val="00837FA3"/>
    <w:rsid w:val="00837FF3"/>
    <w:rsid w:val="00841340"/>
    <w:rsid w:val="00844080"/>
    <w:rsid w:val="00846A59"/>
    <w:rsid w:val="00851F8C"/>
    <w:rsid w:val="008543A0"/>
    <w:rsid w:val="008545C8"/>
    <w:rsid w:val="00854CF7"/>
    <w:rsid w:val="00854D07"/>
    <w:rsid w:val="00854F4B"/>
    <w:rsid w:val="00855395"/>
    <w:rsid w:val="00855FB1"/>
    <w:rsid w:val="0085645C"/>
    <w:rsid w:val="00862DBF"/>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6C0"/>
    <w:rsid w:val="008A6D18"/>
    <w:rsid w:val="008A7E48"/>
    <w:rsid w:val="008B00C3"/>
    <w:rsid w:val="008B3A9D"/>
    <w:rsid w:val="008B4DEF"/>
    <w:rsid w:val="008B7B88"/>
    <w:rsid w:val="008C1B43"/>
    <w:rsid w:val="008C2401"/>
    <w:rsid w:val="008C26BE"/>
    <w:rsid w:val="008C2B6F"/>
    <w:rsid w:val="008C3C7A"/>
    <w:rsid w:val="008D1439"/>
    <w:rsid w:val="008D2034"/>
    <w:rsid w:val="008D2C1E"/>
    <w:rsid w:val="008D3DA7"/>
    <w:rsid w:val="008D6E1A"/>
    <w:rsid w:val="008D73D6"/>
    <w:rsid w:val="008E0126"/>
    <w:rsid w:val="008E0FA9"/>
    <w:rsid w:val="008E660A"/>
    <w:rsid w:val="008E7179"/>
    <w:rsid w:val="008E7FC0"/>
    <w:rsid w:val="008F1687"/>
    <w:rsid w:val="008F23B7"/>
    <w:rsid w:val="008F2692"/>
    <w:rsid w:val="008F34A8"/>
    <w:rsid w:val="008F4412"/>
    <w:rsid w:val="008F4A43"/>
    <w:rsid w:val="008F4CE0"/>
    <w:rsid w:val="00900A3B"/>
    <w:rsid w:val="00900BF2"/>
    <w:rsid w:val="00900EA8"/>
    <w:rsid w:val="009046C7"/>
    <w:rsid w:val="009129A6"/>
    <w:rsid w:val="00913FAD"/>
    <w:rsid w:val="009162B1"/>
    <w:rsid w:val="0091662E"/>
    <w:rsid w:val="0091663B"/>
    <w:rsid w:val="009166DD"/>
    <w:rsid w:val="00916CE1"/>
    <w:rsid w:val="0092207F"/>
    <w:rsid w:val="00924396"/>
    <w:rsid w:val="00924B42"/>
    <w:rsid w:val="009264FC"/>
    <w:rsid w:val="00932E40"/>
    <w:rsid w:val="009330A8"/>
    <w:rsid w:val="00936B42"/>
    <w:rsid w:val="00937065"/>
    <w:rsid w:val="00937238"/>
    <w:rsid w:val="00937686"/>
    <w:rsid w:val="00937833"/>
    <w:rsid w:val="009438CC"/>
    <w:rsid w:val="009439FA"/>
    <w:rsid w:val="00944BD0"/>
    <w:rsid w:val="0094762D"/>
    <w:rsid w:val="00950D51"/>
    <w:rsid w:val="00951A32"/>
    <w:rsid w:val="00952343"/>
    <w:rsid w:val="00954893"/>
    <w:rsid w:val="009555C2"/>
    <w:rsid w:val="00957A08"/>
    <w:rsid w:val="0096038A"/>
    <w:rsid w:val="0096089A"/>
    <w:rsid w:val="00961025"/>
    <w:rsid w:val="009618A0"/>
    <w:rsid w:val="009618C0"/>
    <w:rsid w:val="00963EEC"/>
    <w:rsid w:val="00963EFA"/>
    <w:rsid w:val="00964518"/>
    <w:rsid w:val="00964BD5"/>
    <w:rsid w:val="00966FAD"/>
    <w:rsid w:val="009733BE"/>
    <w:rsid w:val="0097413E"/>
    <w:rsid w:val="00974AF6"/>
    <w:rsid w:val="00976620"/>
    <w:rsid w:val="00976DDB"/>
    <w:rsid w:val="00983BE9"/>
    <w:rsid w:val="00984B89"/>
    <w:rsid w:val="00990C17"/>
    <w:rsid w:val="00991F66"/>
    <w:rsid w:val="00992489"/>
    <w:rsid w:val="00992FBC"/>
    <w:rsid w:val="00994405"/>
    <w:rsid w:val="0099551D"/>
    <w:rsid w:val="00995C77"/>
    <w:rsid w:val="00996315"/>
    <w:rsid w:val="00996B12"/>
    <w:rsid w:val="00996F15"/>
    <w:rsid w:val="009975A1"/>
    <w:rsid w:val="009A008A"/>
    <w:rsid w:val="009A0F05"/>
    <w:rsid w:val="009A0FD0"/>
    <w:rsid w:val="009A1AFC"/>
    <w:rsid w:val="009A380A"/>
    <w:rsid w:val="009A505A"/>
    <w:rsid w:val="009A6855"/>
    <w:rsid w:val="009A7287"/>
    <w:rsid w:val="009B1B6D"/>
    <w:rsid w:val="009B5180"/>
    <w:rsid w:val="009B7B2C"/>
    <w:rsid w:val="009B7FAB"/>
    <w:rsid w:val="009C180F"/>
    <w:rsid w:val="009C28A7"/>
    <w:rsid w:val="009C337C"/>
    <w:rsid w:val="009C37AF"/>
    <w:rsid w:val="009C453D"/>
    <w:rsid w:val="009D070F"/>
    <w:rsid w:val="009D2620"/>
    <w:rsid w:val="009D359C"/>
    <w:rsid w:val="009D383B"/>
    <w:rsid w:val="009D7BDF"/>
    <w:rsid w:val="009E4002"/>
    <w:rsid w:val="009E4551"/>
    <w:rsid w:val="009E4BF8"/>
    <w:rsid w:val="009E506D"/>
    <w:rsid w:val="009E5706"/>
    <w:rsid w:val="009E58F6"/>
    <w:rsid w:val="009E6C8B"/>
    <w:rsid w:val="009F060E"/>
    <w:rsid w:val="009F156E"/>
    <w:rsid w:val="009F1605"/>
    <w:rsid w:val="009F2C67"/>
    <w:rsid w:val="009F36BA"/>
    <w:rsid w:val="009F3F82"/>
    <w:rsid w:val="009F49D2"/>
    <w:rsid w:val="009F4A3A"/>
    <w:rsid w:val="00A007F6"/>
    <w:rsid w:val="00A017E3"/>
    <w:rsid w:val="00A01B5B"/>
    <w:rsid w:val="00A01BF9"/>
    <w:rsid w:val="00A03580"/>
    <w:rsid w:val="00A04009"/>
    <w:rsid w:val="00A04FC5"/>
    <w:rsid w:val="00A054B6"/>
    <w:rsid w:val="00A05AE2"/>
    <w:rsid w:val="00A06955"/>
    <w:rsid w:val="00A072DD"/>
    <w:rsid w:val="00A12B15"/>
    <w:rsid w:val="00A153C5"/>
    <w:rsid w:val="00A16D0C"/>
    <w:rsid w:val="00A16D7E"/>
    <w:rsid w:val="00A20355"/>
    <w:rsid w:val="00A23223"/>
    <w:rsid w:val="00A238E2"/>
    <w:rsid w:val="00A2546C"/>
    <w:rsid w:val="00A258B9"/>
    <w:rsid w:val="00A2591B"/>
    <w:rsid w:val="00A27022"/>
    <w:rsid w:val="00A27AED"/>
    <w:rsid w:val="00A27DE5"/>
    <w:rsid w:val="00A30034"/>
    <w:rsid w:val="00A35400"/>
    <w:rsid w:val="00A35BDA"/>
    <w:rsid w:val="00A367BB"/>
    <w:rsid w:val="00A37DBF"/>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CA5"/>
    <w:rsid w:val="00A95D4D"/>
    <w:rsid w:val="00A965AC"/>
    <w:rsid w:val="00A97570"/>
    <w:rsid w:val="00A9766A"/>
    <w:rsid w:val="00AA3688"/>
    <w:rsid w:val="00AA488B"/>
    <w:rsid w:val="00AA6471"/>
    <w:rsid w:val="00AA7A72"/>
    <w:rsid w:val="00AA7F1C"/>
    <w:rsid w:val="00AB3417"/>
    <w:rsid w:val="00AB3B50"/>
    <w:rsid w:val="00AB7903"/>
    <w:rsid w:val="00AC060F"/>
    <w:rsid w:val="00AC0AFA"/>
    <w:rsid w:val="00AC1072"/>
    <w:rsid w:val="00AC1B1A"/>
    <w:rsid w:val="00AC2720"/>
    <w:rsid w:val="00AC2BBE"/>
    <w:rsid w:val="00AC503B"/>
    <w:rsid w:val="00AC5C9E"/>
    <w:rsid w:val="00AC63C2"/>
    <w:rsid w:val="00AD087C"/>
    <w:rsid w:val="00AD0A79"/>
    <w:rsid w:val="00AD1467"/>
    <w:rsid w:val="00AD206E"/>
    <w:rsid w:val="00AD3EC6"/>
    <w:rsid w:val="00AD5592"/>
    <w:rsid w:val="00AE0D52"/>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FD6"/>
    <w:rsid w:val="00B03A0E"/>
    <w:rsid w:val="00B106F1"/>
    <w:rsid w:val="00B125C6"/>
    <w:rsid w:val="00B12FC9"/>
    <w:rsid w:val="00B177F4"/>
    <w:rsid w:val="00B17DB7"/>
    <w:rsid w:val="00B200EB"/>
    <w:rsid w:val="00B20BA2"/>
    <w:rsid w:val="00B2152B"/>
    <w:rsid w:val="00B21829"/>
    <w:rsid w:val="00B2225A"/>
    <w:rsid w:val="00B2367C"/>
    <w:rsid w:val="00B30B24"/>
    <w:rsid w:val="00B33ECD"/>
    <w:rsid w:val="00B37CD4"/>
    <w:rsid w:val="00B40218"/>
    <w:rsid w:val="00B43EEE"/>
    <w:rsid w:val="00B442FD"/>
    <w:rsid w:val="00B45843"/>
    <w:rsid w:val="00B458E8"/>
    <w:rsid w:val="00B469AA"/>
    <w:rsid w:val="00B469DA"/>
    <w:rsid w:val="00B502B8"/>
    <w:rsid w:val="00B51C5A"/>
    <w:rsid w:val="00B52653"/>
    <w:rsid w:val="00B5452D"/>
    <w:rsid w:val="00B55AD9"/>
    <w:rsid w:val="00B56F0F"/>
    <w:rsid w:val="00B577A0"/>
    <w:rsid w:val="00B609AC"/>
    <w:rsid w:val="00B6137E"/>
    <w:rsid w:val="00B64016"/>
    <w:rsid w:val="00B64071"/>
    <w:rsid w:val="00B64447"/>
    <w:rsid w:val="00B647F0"/>
    <w:rsid w:val="00B6523D"/>
    <w:rsid w:val="00B65BC4"/>
    <w:rsid w:val="00B66F3F"/>
    <w:rsid w:val="00B6730E"/>
    <w:rsid w:val="00B70651"/>
    <w:rsid w:val="00B7066A"/>
    <w:rsid w:val="00B70936"/>
    <w:rsid w:val="00B70D20"/>
    <w:rsid w:val="00B70D82"/>
    <w:rsid w:val="00B73E64"/>
    <w:rsid w:val="00B74C35"/>
    <w:rsid w:val="00B74CC4"/>
    <w:rsid w:val="00B751AC"/>
    <w:rsid w:val="00B8117B"/>
    <w:rsid w:val="00B813F7"/>
    <w:rsid w:val="00B8162E"/>
    <w:rsid w:val="00B84236"/>
    <w:rsid w:val="00B87202"/>
    <w:rsid w:val="00B92EEF"/>
    <w:rsid w:val="00B9498D"/>
    <w:rsid w:val="00B95539"/>
    <w:rsid w:val="00B95D5C"/>
    <w:rsid w:val="00BA0703"/>
    <w:rsid w:val="00BA1EEA"/>
    <w:rsid w:val="00BA1F3F"/>
    <w:rsid w:val="00BA5197"/>
    <w:rsid w:val="00BA5AB4"/>
    <w:rsid w:val="00BA7DC9"/>
    <w:rsid w:val="00BA7F59"/>
    <w:rsid w:val="00BB32A6"/>
    <w:rsid w:val="00BB5941"/>
    <w:rsid w:val="00BB7872"/>
    <w:rsid w:val="00BC07C4"/>
    <w:rsid w:val="00BC4194"/>
    <w:rsid w:val="00BC5A83"/>
    <w:rsid w:val="00BC65CF"/>
    <w:rsid w:val="00BC6E1A"/>
    <w:rsid w:val="00BD01D8"/>
    <w:rsid w:val="00BD2883"/>
    <w:rsid w:val="00BD340D"/>
    <w:rsid w:val="00BD379E"/>
    <w:rsid w:val="00BD4D3C"/>
    <w:rsid w:val="00BD5A63"/>
    <w:rsid w:val="00BD5AAA"/>
    <w:rsid w:val="00BD64A0"/>
    <w:rsid w:val="00BE2605"/>
    <w:rsid w:val="00BE31A9"/>
    <w:rsid w:val="00BE3356"/>
    <w:rsid w:val="00BE33BC"/>
    <w:rsid w:val="00BE3EFA"/>
    <w:rsid w:val="00BE3FD1"/>
    <w:rsid w:val="00BE420B"/>
    <w:rsid w:val="00BE6D37"/>
    <w:rsid w:val="00BE77A0"/>
    <w:rsid w:val="00BE7890"/>
    <w:rsid w:val="00BF00D1"/>
    <w:rsid w:val="00BF03A1"/>
    <w:rsid w:val="00BF0B07"/>
    <w:rsid w:val="00BF1443"/>
    <w:rsid w:val="00BF218B"/>
    <w:rsid w:val="00BF5693"/>
    <w:rsid w:val="00BF6B30"/>
    <w:rsid w:val="00C0094D"/>
    <w:rsid w:val="00C01074"/>
    <w:rsid w:val="00C013C1"/>
    <w:rsid w:val="00C04709"/>
    <w:rsid w:val="00C053C9"/>
    <w:rsid w:val="00C1155C"/>
    <w:rsid w:val="00C11F23"/>
    <w:rsid w:val="00C131F4"/>
    <w:rsid w:val="00C1359A"/>
    <w:rsid w:val="00C14011"/>
    <w:rsid w:val="00C14CC9"/>
    <w:rsid w:val="00C168DF"/>
    <w:rsid w:val="00C17131"/>
    <w:rsid w:val="00C17C5B"/>
    <w:rsid w:val="00C225DA"/>
    <w:rsid w:val="00C246B2"/>
    <w:rsid w:val="00C26AEC"/>
    <w:rsid w:val="00C310B9"/>
    <w:rsid w:val="00C3143C"/>
    <w:rsid w:val="00C31874"/>
    <w:rsid w:val="00C32831"/>
    <w:rsid w:val="00C32C92"/>
    <w:rsid w:val="00C32FFA"/>
    <w:rsid w:val="00C34503"/>
    <w:rsid w:val="00C3484D"/>
    <w:rsid w:val="00C3686A"/>
    <w:rsid w:val="00C416B4"/>
    <w:rsid w:val="00C43FD5"/>
    <w:rsid w:val="00C4722F"/>
    <w:rsid w:val="00C47746"/>
    <w:rsid w:val="00C51550"/>
    <w:rsid w:val="00C5180D"/>
    <w:rsid w:val="00C52762"/>
    <w:rsid w:val="00C5277C"/>
    <w:rsid w:val="00C53690"/>
    <w:rsid w:val="00C53E33"/>
    <w:rsid w:val="00C55C09"/>
    <w:rsid w:val="00C63DD6"/>
    <w:rsid w:val="00C64229"/>
    <w:rsid w:val="00C64DE5"/>
    <w:rsid w:val="00C661F8"/>
    <w:rsid w:val="00C66C06"/>
    <w:rsid w:val="00C67424"/>
    <w:rsid w:val="00C70D3A"/>
    <w:rsid w:val="00C71337"/>
    <w:rsid w:val="00C73986"/>
    <w:rsid w:val="00C757AB"/>
    <w:rsid w:val="00C76F6E"/>
    <w:rsid w:val="00C80C79"/>
    <w:rsid w:val="00C857DC"/>
    <w:rsid w:val="00C86B55"/>
    <w:rsid w:val="00C87C49"/>
    <w:rsid w:val="00C9247C"/>
    <w:rsid w:val="00C92DD1"/>
    <w:rsid w:val="00C93043"/>
    <w:rsid w:val="00C93371"/>
    <w:rsid w:val="00C93753"/>
    <w:rsid w:val="00C94DED"/>
    <w:rsid w:val="00C9534C"/>
    <w:rsid w:val="00C955FD"/>
    <w:rsid w:val="00C956CE"/>
    <w:rsid w:val="00C95CA7"/>
    <w:rsid w:val="00CA1BB5"/>
    <w:rsid w:val="00CA4760"/>
    <w:rsid w:val="00CA492F"/>
    <w:rsid w:val="00CA73FC"/>
    <w:rsid w:val="00CA7531"/>
    <w:rsid w:val="00CA7FAB"/>
    <w:rsid w:val="00CB1755"/>
    <w:rsid w:val="00CB270A"/>
    <w:rsid w:val="00CB3A3F"/>
    <w:rsid w:val="00CB4055"/>
    <w:rsid w:val="00CB4B99"/>
    <w:rsid w:val="00CB6372"/>
    <w:rsid w:val="00CB7334"/>
    <w:rsid w:val="00CB762B"/>
    <w:rsid w:val="00CB7D78"/>
    <w:rsid w:val="00CC0ACA"/>
    <w:rsid w:val="00CC1C7B"/>
    <w:rsid w:val="00CC3FC1"/>
    <w:rsid w:val="00CC459D"/>
    <w:rsid w:val="00CC5470"/>
    <w:rsid w:val="00CC675A"/>
    <w:rsid w:val="00CC77E4"/>
    <w:rsid w:val="00CD1311"/>
    <w:rsid w:val="00CD2B04"/>
    <w:rsid w:val="00CD2FC9"/>
    <w:rsid w:val="00CD402C"/>
    <w:rsid w:val="00CD577E"/>
    <w:rsid w:val="00CD6DAE"/>
    <w:rsid w:val="00CE09D6"/>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BD0"/>
    <w:rsid w:val="00D24D44"/>
    <w:rsid w:val="00D25252"/>
    <w:rsid w:val="00D25ED8"/>
    <w:rsid w:val="00D266DE"/>
    <w:rsid w:val="00D3466E"/>
    <w:rsid w:val="00D35494"/>
    <w:rsid w:val="00D368F2"/>
    <w:rsid w:val="00D36B20"/>
    <w:rsid w:val="00D3723C"/>
    <w:rsid w:val="00D40841"/>
    <w:rsid w:val="00D424BE"/>
    <w:rsid w:val="00D4292D"/>
    <w:rsid w:val="00D42C95"/>
    <w:rsid w:val="00D459F0"/>
    <w:rsid w:val="00D45D6F"/>
    <w:rsid w:val="00D47149"/>
    <w:rsid w:val="00D50FA6"/>
    <w:rsid w:val="00D51A0A"/>
    <w:rsid w:val="00D55870"/>
    <w:rsid w:val="00D56065"/>
    <w:rsid w:val="00D56E35"/>
    <w:rsid w:val="00D615EB"/>
    <w:rsid w:val="00D648E2"/>
    <w:rsid w:val="00D64FD7"/>
    <w:rsid w:val="00D71634"/>
    <w:rsid w:val="00D7191C"/>
    <w:rsid w:val="00D73F72"/>
    <w:rsid w:val="00D7599C"/>
    <w:rsid w:val="00D832B1"/>
    <w:rsid w:val="00D83465"/>
    <w:rsid w:val="00D84D01"/>
    <w:rsid w:val="00D85E48"/>
    <w:rsid w:val="00D86446"/>
    <w:rsid w:val="00D8687A"/>
    <w:rsid w:val="00D8788E"/>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2538"/>
    <w:rsid w:val="00DC2B97"/>
    <w:rsid w:val="00DC44DA"/>
    <w:rsid w:val="00DC4B28"/>
    <w:rsid w:val="00DC4EC1"/>
    <w:rsid w:val="00DC5128"/>
    <w:rsid w:val="00DC5214"/>
    <w:rsid w:val="00DC7074"/>
    <w:rsid w:val="00DC740A"/>
    <w:rsid w:val="00DD0114"/>
    <w:rsid w:val="00DD0B94"/>
    <w:rsid w:val="00DD1B9E"/>
    <w:rsid w:val="00DD4B5A"/>
    <w:rsid w:val="00DD4BE5"/>
    <w:rsid w:val="00DD5971"/>
    <w:rsid w:val="00DD7008"/>
    <w:rsid w:val="00DE2A35"/>
    <w:rsid w:val="00DE4EA1"/>
    <w:rsid w:val="00DE74F0"/>
    <w:rsid w:val="00DE75A9"/>
    <w:rsid w:val="00DF5C48"/>
    <w:rsid w:val="00DF656B"/>
    <w:rsid w:val="00DF66F5"/>
    <w:rsid w:val="00DF7ABC"/>
    <w:rsid w:val="00E00114"/>
    <w:rsid w:val="00E0279C"/>
    <w:rsid w:val="00E02E71"/>
    <w:rsid w:val="00E059B7"/>
    <w:rsid w:val="00E05E81"/>
    <w:rsid w:val="00E06BFA"/>
    <w:rsid w:val="00E10D5F"/>
    <w:rsid w:val="00E112A2"/>
    <w:rsid w:val="00E13F06"/>
    <w:rsid w:val="00E153E2"/>
    <w:rsid w:val="00E174DF"/>
    <w:rsid w:val="00E20144"/>
    <w:rsid w:val="00E26DEB"/>
    <w:rsid w:val="00E27373"/>
    <w:rsid w:val="00E30046"/>
    <w:rsid w:val="00E30BA8"/>
    <w:rsid w:val="00E31782"/>
    <w:rsid w:val="00E33C3C"/>
    <w:rsid w:val="00E34167"/>
    <w:rsid w:val="00E40CDF"/>
    <w:rsid w:val="00E415EC"/>
    <w:rsid w:val="00E43B33"/>
    <w:rsid w:val="00E43ECB"/>
    <w:rsid w:val="00E4580F"/>
    <w:rsid w:val="00E467EB"/>
    <w:rsid w:val="00E50CA5"/>
    <w:rsid w:val="00E5501B"/>
    <w:rsid w:val="00E55D6F"/>
    <w:rsid w:val="00E55F81"/>
    <w:rsid w:val="00E5634B"/>
    <w:rsid w:val="00E56B30"/>
    <w:rsid w:val="00E56E5C"/>
    <w:rsid w:val="00E60714"/>
    <w:rsid w:val="00E61ABA"/>
    <w:rsid w:val="00E63331"/>
    <w:rsid w:val="00E63A0F"/>
    <w:rsid w:val="00E65BE5"/>
    <w:rsid w:val="00E65CB8"/>
    <w:rsid w:val="00E67D28"/>
    <w:rsid w:val="00E7084F"/>
    <w:rsid w:val="00E7152C"/>
    <w:rsid w:val="00E72695"/>
    <w:rsid w:val="00E7321B"/>
    <w:rsid w:val="00E73AC6"/>
    <w:rsid w:val="00E81872"/>
    <w:rsid w:val="00E8311C"/>
    <w:rsid w:val="00E87731"/>
    <w:rsid w:val="00E92121"/>
    <w:rsid w:val="00E92125"/>
    <w:rsid w:val="00E9343B"/>
    <w:rsid w:val="00E94892"/>
    <w:rsid w:val="00E96099"/>
    <w:rsid w:val="00E965BD"/>
    <w:rsid w:val="00EA0092"/>
    <w:rsid w:val="00EA0AF0"/>
    <w:rsid w:val="00EA15E6"/>
    <w:rsid w:val="00EA35E1"/>
    <w:rsid w:val="00EA3DD8"/>
    <w:rsid w:val="00EA6513"/>
    <w:rsid w:val="00EA7AD3"/>
    <w:rsid w:val="00EB0F90"/>
    <w:rsid w:val="00EB14F9"/>
    <w:rsid w:val="00EB15FC"/>
    <w:rsid w:val="00EB3EC2"/>
    <w:rsid w:val="00EB5731"/>
    <w:rsid w:val="00EB6BFA"/>
    <w:rsid w:val="00EC039E"/>
    <w:rsid w:val="00EC188A"/>
    <w:rsid w:val="00EC3346"/>
    <w:rsid w:val="00EC3912"/>
    <w:rsid w:val="00EC4FFE"/>
    <w:rsid w:val="00EC6FF8"/>
    <w:rsid w:val="00EC727D"/>
    <w:rsid w:val="00ED0FE7"/>
    <w:rsid w:val="00ED294F"/>
    <w:rsid w:val="00ED4EB8"/>
    <w:rsid w:val="00ED5AA4"/>
    <w:rsid w:val="00ED60A1"/>
    <w:rsid w:val="00ED6C15"/>
    <w:rsid w:val="00EE3344"/>
    <w:rsid w:val="00EE4355"/>
    <w:rsid w:val="00EE5DDD"/>
    <w:rsid w:val="00EE659B"/>
    <w:rsid w:val="00EF0889"/>
    <w:rsid w:val="00EF1974"/>
    <w:rsid w:val="00EF1F1E"/>
    <w:rsid w:val="00EF2A51"/>
    <w:rsid w:val="00EF4808"/>
    <w:rsid w:val="00EF48C8"/>
    <w:rsid w:val="00EF6007"/>
    <w:rsid w:val="00EF666C"/>
    <w:rsid w:val="00EF6BA2"/>
    <w:rsid w:val="00EF70E1"/>
    <w:rsid w:val="00EF7F65"/>
    <w:rsid w:val="00F000BB"/>
    <w:rsid w:val="00F01A46"/>
    <w:rsid w:val="00F07CBE"/>
    <w:rsid w:val="00F103D4"/>
    <w:rsid w:val="00F10E7B"/>
    <w:rsid w:val="00F11FAC"/>
    <w:rsid w:val="00F1251D"/>
    <w:rsid w:val="00F129E3"/>
    <w:rsid w:val="00F14CB4"/>
    <w:rsid w:val="00F1761E"/>
    <w:rsid w:val="00F2299F"/>
    <w:rsid w:val="00F23077"/>
    <w:rsid w:val="00F2452C"/>
    <w:rsid w:val="00F24612"/>
    <w:rsid w:val="00F24DAF"/>
    <w:rsid w:val="00F24F87"/>
    <w:rsid w:val="00F250B9"/>
    <w:rsid w:val="00F256CE"/>
    <w:rsid w:val="00F2770A"/>
    <w:rsid w:val="00F32444"/>
    <w:rsid w:val="00F329AA"/>
    <w:rsid w:val="00F32D3F"/>
    <w:rsid w:val="00F35D9E"/>
    <w:rsid w:val="00F372C4"/>
    <w:rsid w:val="00F404AD"/>
    <w:rsid w:val="00F41278"/>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C42"/>
    <w:rsid w:val="00F65446"/>
    <w:rsid w:val="00F66962"/>
    <w:rsid w:val="00F71BC1"/>
    <w:rsid w:val="00F73381"/>
    <w:rsid w:val="00F75964"/>
    <w:rsid w:val="00F77223"/>
    <w:rsid w:val="00F8022C"/>
    <w:rsid w:val="00F83826"/>
    <w:rsid w:val="00F847C2"/>
    <w:rsid w:val="00F85BE4"/>
    <w:rsid w:val="00F86DBA"/>
    <w:rsid w:val="00F87B18"/>
    <w:rsid w:val="00F9099A"/>
    <w:rsid w:val="00F90FBC"/>
    <w:rsid w:val="00F91B6A"/>
    <w:rsid w:val="00F92C78"/>
    <w:rsid w:val="00F930FA"/>
    <w:rsid w:val="00F94AC5"/>
    <w:rsid w:val="00F94BE6"/>
    <w:rsid w:val="00F95D64"/>
    <w:rsid w:val="00F9699E"/>
    <w:rsid w:val="00F96B9E"/>
    <w:rsid w:val="00F9737F"/>
    <w:rsid w:val="00FA1901"/>
    <w:rsid w:val="00FA2A78"/>
    <w:rsid w:val="00FA35E4"/>
    <w:rsid w:val="00FA49B9"/>
    <w:rsid w:val="00FA4D26"/>
    <w:rsid w:val="00FA524A"/>
    <w:rsid w:val="00FA63AD"/>
    <w:rsid w:val="00FA6F77"/>
    <w:rsid w:val="00FB1AC0"/>
    <w:rsid w:val="00FB1B0E"/>
    <w:rsid w:val="00FB21CF"/>
    <w:rsid w:val="00FB4162"/>
    <w:rsid w:val="00FB42E3"/>
    <w:rsid w:val="00FB7FF6"/>
    <w:rsid w:val="00FC1427"/>
    <w:rsid w:val="00FC179E"/>
    <w:rsid w:val="00FC185F"/>
    <w:rsid w:val="00FC243A"/>
    <w:rsid w:val="00FC3973"/>
    <w:rsid w:val="00FC3C0A"/>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4F6"/>
    <w:rsid w:val="00FF1A6D"/>
    <w:rsid w:val="00FF203E"/>
    <w:rsid w:val="00FF20E9"/>
    <w:rsid w:val="00FF4AF8"/>
    <w:rsid w:val="00FF5585"/>
    <w:rsid w:val="00FF5DD3"/>
    <w:rsid w:val="00FF661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AD"/>
    <w:pPr>
      <w:spacing w:after="200" w:line="276" w:lineRule="auto"/>
    </w:pPr>
    <w:rPr>
      <w:sz w:val="22"/>
      <w:szCs w:val="22"/>
      <w:lang w:eastAsia="en-US"/>
    </w:rPr>
  </w:style>
  <w:style w:type="paragraph" w:styleId="Heading1">
    <w:name w:val="heading 1"/>
    <w:basedOn w:val="Normal"/>
    <w:next w:val="Normal"/>
    <w:link w:val="Heading1Char"/>
    <w:uiPriority w:val="9"/>
    <w:qFormat/>
    <w:rsid w:val="001934E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A"/>
    <w:rPr>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unhideWhenUsed/>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05"/>
    <w:rPr>
      <w:rFonts w:ascii="Tahoma" w:hAnsi="Tahoma" w:cs="Tahoma"/>
      <w:sz w:val="16"/>
      <w:szCs w:val="16"/>
    </w:rPr>
  </w:style>
  <w:style w:type="character" w:styleId="CommentReference">
    <w:name w:val="annotation reference"/>
    <w:basedOn w:val="DefaultParagraphFont"/>
    <w:uiPriority w:val="99"/>
    <w:semiHidden/>
    <w:unhideWhenUsed/>
    <w:rsid w:val="00BD01D8"/>
    <w:rPr>
      <w:sz w:val="16"/>
      <w:szCs w:val="16"/>
    </w:rPr>
  </w:style>
  <w:style w:type="paragraph" w:styleId="CommentText">
    <w:name w:val="annotation text"/>
    <w:basedOn w:val="Normal"/>
    <w:link w:val="CommentTextChar"/>
    <w:uiPriority w:val="99"/>
    <w:semiHidden/>
    <w:unhideWhenUsed/>
    <w:rsid w:val="00BD01D8"/>
    <w:rPr>
      <w:sz w:val="20"/>
      <w:szCs w:val="20"/>
    </w:rPr>
  </w:style>
  <w:style w:type="character" w:customStyle="1" w:styleId="CommentTextChar">
    <w:name w:val="Comment Text Char"/>
    <w:basedOn w:val="DefaultParagraphFont"/>
    <w:link w:val="CommentText"/>
    <w:uiPriority w:val="99"/>
    <w:semiHidden/>
    <w:rsid w:val="00BD01D8"/>
    <w:rPr>
      <w:lang w:eastAsia="en-US"/>
    </w:rPr>
  </w:style>
  <w:style w:type="paragraph" w:styleId="CommentSubject">
    <w:name w:val="annotation subject"/>
    <w:basedOn w:val="CommentText"/>
    <w:next w:val="CommentText"/>
    <w:link w:val="CommentSubjectChar"/>
    <w:uiPriority w:val="99"/>
    <w:semiHidden/>
    <w:unhideWhenUsed/>
    <w:rsid w:val="00BD01D8"/>
    <w:rPr>
      <w:b/>
      <w:bCs/>
    </w:rPr>
  </w:style>
  <w:style w:type="character" w:customStyle="1" w:styleId="CommentSubjectChar">
    <w:name w:val="Comment Subject Char"/>
    <w:basedOn w:val="CommentTextChar"/>
    <w:link w:val="CommentSubject"/>
    <w:uiPriority w:val="99"/>
    <w:semiHidden/>
    <w:rsid w:val="00BD01D8"/>
    <w:rPr>
      <w:b/>
      <w:bCs/>
    </w:rPr>
  </w:style>
  <w:style w:type="character" w:styleId="FollowedHyperlink">
    <w:name w:val="FollowedHyperlink"/>
    <w:basedOn w:val="DefaultParagraphFont"/>
    <w:uiPriority w:val="99"/>
    <w:semiHidden/>
    <w:unhideWhenUsed/>
    <w:rsid w:val="00693E6F"/>
    <w:rPr>
      <w:color w:val="800080"/>
      <w:u w:val="single"/>
    </w:rPr>
  </w:style>
  <w:style w:type="character" w:customStyle="1" w:styleId="Heading1Char">
    <w:name w:val="Heading 1 Char"/>
    <w:basedOn w:val="DefaultParagraphFont"/>
    <w:link w:val="Heading1"/>
    <w:uiPriority w:val="9"/>
    <w:rsid w:val="001934EC"/>
    <w:rPr>
      <w:rFonts w:ascii="Cambria" w:eastAsia="Times New Roman" w:hAnsi="Cambria" w:cs="Times New Roman"/>
      <w:b/>
      <w:bCs/>
      <w:kern w:val="32"/>
      <w:sz w:val="32"/>
      <w:szCs w:val="32"/>
      <w:lang w:eastAsia="en-US"/>
    </w:rPr>
  </w:style>
  <w:style w:type="paragraph" w:styleId="Header">
    <w:name w:val="header"/>
    <w:basedOn w:val="Normal"/>
    <w:link w:val="HeaderChar"/>
    <w:uiPriority w:val="99"/>
    <w:semiHidden/>
    <w:unhideWhenUsed/>
    <w:rsid w:val="00157A96"/>
    <w:pPr>
      <w:tabs>
        <w:tab w:val="center" w:pos="4513"/>
        <w:tab w:val="right" w:pos="9026"/>
      </w:tabs>
    </w:pPr>
  </w:style>
  <w:style w:type="character" w:customStyle="1" w:styleId="HeaderChar">
    <w:name w:val="Header Char"/>
    <w:basedOn w:val="DefaultParagraphFont"/>
    <w:link w:val="Header"/>
    <w:uiPriority w:val="99"/>
    <w:semiHidden/>
    <w:rsid w:val="00157A96"/>
    <w:rPr>
      <w:sz w:val="22"/>
      <w:szCs w:val="22"/>
      <w:lang w:eastAsia="en-US"/>
    </w:rPr>
  </w:style>
  <w:style w:type="paragraph" w:styleId="Footer">
    <w:name w:val="footer"/>
    <w:basedOn w:val="Normal"/>
    <w:link w:val="FooterChar"/>
    <w:uiPriority w:val="99"/>
    <w:unhideWhenUsed/>
    <w:rsid w:val="00157A96"/>
    <w:pPr>
      <w:tabs>
        <w:tab w:val="center" w:pos="4513"/>
        <w:tab w:val="right" w:pos="9026"/>
      </w:tabs>
    </w:pPr>
  </w:style>
  <w:style w:type="character" w:customStyle="1" w:styleId="FooterChar">
    <w:name w:val="Footer Char"/>
    <w:basedOn w:val="DefaultParagraphFont"/>
    <w:link w:val="Footer"/>
    <w:uiPriority w:val="99"/>
    <w:rsid w:val="00157A96"/>
    <w:rPr>
      <w:sz w:val="22"/>
      <w:szCs w:val="22"/>
      <w:lang w:eastAsia="en-US"/>
    </w:rPr>
  </w:style>
  <w:style w:type="paragraph" w:styleId="FootnoteText">
    <w:name w:val="footnote text"/>
    <w:basedOn w:val="Normal"/>
    <w:link w:val="FootnoteTextChar"/>
    <w:uiPriority w:val="99"/>
    <w:semiHidden/>
    <w:unhideWhenUsed/>
    <w:rsid w:val="00AD5592"/>
    <w:rPr>
      <w:sz w:val="20"/>
      <w:szCs w:val="20"/>
    </w:rPr>
  </w:style>
  <w:style w:type="character" w:customStyle="1" w:styleId="FootnoteTextChar">
    <w:name w:val="Footnote Text Char"/>
    <w:basedOn w:val="DefaultParagraphFont"/>
    <w:link w:val="FootnoteText"/>
    <w:uiPriority w:val="99"/>
    <w:semiHidden/>
    <w:rsid w:val="00AD5592"/>
    <w:rPr>
      <w:lang w:eastAsia="en-US"/>
    </w:rPr>
  </w:style>
  <w:style w:type="character" w:styleId="FootnoteReference">
    <w:name w:val="footnote reference"/>
    <w:basedOn w:val="DefaultParagraphFont"/>
    <w:uiPriority w:val="99"/>
    <w:semiHidden/>
    <w:unhideWhenUsed/>
    <w:rsid w:val="00AD5592"/>
    <w:rPr>
      <w:vertAlign w:val="superscript"/>
    </w:rPr>
  </w:style>
</w:styles>
</file>

<file path=word/webSettings.xml><?xml version="1.0" encoding="utf-8"?>
<w:webSettings xmlns:r="http://schemas.openxmlformats.org/officeDocument/2006/relationships" xmlns:w="http://schemas.openxmlformats.org/wordprocessingml/2006/main">
  <w:divs>
    <w:div w:id="1228148031">
      <w:bodyDiv w:val="1"/>
      <w:marLeft w:val="0"/>
      <w:marRight w:val="0"/>
      <w:marTop w:val="0"/>
      <w:marBottom w:val="0"/>
      <w:divBdr>
        <w:top w:val="none" w:sz="0" w:space="0" w:color="auto"/>
        <w:left w:val="none" w:sz="0" w:space="0" w:color="auto"/>
        <w:bottom w:val="none" w:sz="0" w:space="0" w:color="auto"/>
        <w:right w:val="none" w:sz="0" w:space="0" w:color="auto"/>
      </w:divBdr>
    </w:div>
    <w:div w:id="2098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Expenditure forecast assessment guidelines working group meeting 3</vt:lpstr>
    </vt:vector>
  </TitlesOfParts>
  <Company/>
  <LinksUpToDate>false</LinksUpToDate>
  <CharactersWithSpaces>8743</CharactersWithSpaces>
  <SharedDoc>false</SharedDoc>
  <HLinks>
    <vt:vector size="6" baseType="variant">
      <vt:variant>
        <vt:i4>5242884</vt:i4>
      </vt:variant>
      <vt:variant>
        <vt:i4>0</vt:i4>
      </vt:variant>
      <vt:variant>
        <vt:i4>0</vt:i4>
      </vt:variant>
      <vt:variant>
        <vt:i4>5</vt:i4>
      </vt:variant>
      <vt:variant>
        <vt:lpwstr>http://www.aer.gov.au/node/18864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meeting 3</dc:title>
  <dc:subject>category assessment - replacement and augmentation capex for transmission businesses</dc:subject>
  <dc:creator/>
  <cp:keywords/>
  <dc:description/>
  <cp:lastModifiedBy/>
  <cp:revision>1</cp:revision>
  <dcterms:created xsi:type="dcterms:W3CDTF">2013-04-04T02:19:00Z</dcterms:created>
  <dcterms:modified xsi:type="dcterms:W3CDTF">2013-04-04T02:19:00Z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H:\TRIMDATA\TRIM\TEMP\CONTEXT.888\D13 31186[V2]  AER - expenditure workshop no. 3 meeting summary - TNSP replacement and augmentation capex - 7 March 2013.DOCX</vt:lpwstr>
  </property>
</Properties>
</file>